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técnicos diferenciados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 xml:space="preserve">Entregables: </w:t>
      </w:r>
      <w:r>
        <w:t xml:space="preserve">módulo src/backtesting.py (motor walk-forward); src/preprocessing.py (pipeline temporalmente consciente); tests automatizados de ausencia de fuga de datos.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 xml:space="preserve">Entregables: </w:t>
      </w:r>
      <w:r>
        <w:t xml:space="preserve">siete implementaciones de modelos en src/models/; clase BaseForecaster con interfaz común; script de ejecución del experimento run_experiment.py.</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r>
        <w:rPr>
          <w:b/>
        </w:rPr>
        <w:t xml:space="preserve">Entregables: </w:t>
      </w:r>
      <w:r>
        <w:t xml:space="preserve">módulo src/evaluation.py (seis métricas); figuras en results/figures/; tablas de resultados en results/tables/; repositorio reproducible con entorno Conda.</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Objetivos individuales por integrante</w:t>
      </w:r>
    </w:p>
    <w:p>
      <w:pPr/>
      <w:r>
        <w:t xml:space="preserve">Juan Camilo Rico Ballesteros: implementar los módulos de modelos de pronóstico (baseline, estadísticos, ML y DL) con la interfaz común BaseForecaster; redactar la introducción del trabajo y desarrollar el análisis comparativo de errores entre arquitecturas.</w:t>
      </w:r>
    </w:p>
    <w:p>
      <w:pPr/>
      <w:r>
        <w:t xml:space="preserve">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pPr/>
      <w:r>
        <w:t xml:space="preserve">José Manuel Machado Loaiza: diseñar e implementar la infraestructura de backtesting walk-forward y el pipeline de preprocesamiento; definir la metodología, el diseño del experimento y la configuración del pipeline reproducible.</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pPr/>
      <w:r>
        <w:t xml:space="preserve">La distribución de responsabilidades y los mecanismos de coordinación descritos fueron acordados por los integrantes del grupo y puestos en conocimiento de la directora del trabajo, Dra. Marta María Arguedas Lafuente.</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