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NoSpacing"/>
        <w:jc w:val="left"/>
      </w:pPr>
      <w:r>
        <w:rPr>
          <w:rFonts w:ascii="Calibri" w:hAnsi="Calibri"/>
          <w:sz w:val="32"/>
        </w:rPr>
        <w:t>Universidad Internacional de La Rioja</w:t>
      </w:r>
    </w:p>
    <w:p>
      <w:pPr>
        <w:pStyle w:val="NoSpacing"/>
        <w:jc w:val="left"/>
      </w:pPr>
      <w:r>
        <w:rPr>
          <w:rFonts w:ascii="Calibri" w:hAnsi="Calibri"/>
          <w:sz w:val="28"/>
        </w:rPr>
        <w:t>Escuela Superior de Ingeniería y Tecnología</w:t>
      </w:r>
    </w:p>
    <w:p>
      <w:pPr>
        <w:pStyle w:val="NoSpacing"/>
        <w:jc w:val="left"/>
      </w:pPr>
      <w:r>
        <w:rPr>
          <w:rFonts w:ascii="Calibri" w:hAnsi="Calibri"/>
          <w:sz w:val="26"/>
        </w:rPr>
        <w:t>Máster Universitario en Inteligencia Artificial</w:t>
      </w:r>
    </w:p>
    <w:p>
      <w:pPr>
        <w:pStyle w:val="NoSpacing"/>
      </w:pPr>
    </w:p>
    <w:p>
      <w:pPr>
        <w:pStyle w:val="NoSpacing"/>
      </w:pPr>
    </w:p>
    <w:p>
      <w:pPr>
        <w:pStyle w:val="NoSpacing"/>
      </w:pPr>
    </w:p>
    <w:p>
      <w:pPr>
        <w:pStyle w:val="NoSpacing"/>
      </w:pPr>
    </w:p>
    <w:p>
      <w:pPr>
        <w:pStyle w:val="NoSpacing"/>
        <w:jc w:val="left"/>
      </w:pPr>
      <w:r>
        <w:rPr>
          <w:rFonts w:ascii="Calibri Light" w:hAnsi="Calibri Light"/>
          <w:b/>
          <w:color w:val="0098CD"/>
          <w:sz w:val="44"/>
        </w:rPr>
        <w:t>Evaluación de modelos de pronóstico para la planificación financiera (FP&amp;A) mediante backtesting temporal y métricas de impacto económico</w:t>
      </w:r>
    </w:p>
    <w:p>
      <w:pPr>
        <w:pStyle w:val="NoSpacing"/>
      </w:pPr>
    </w:p>
    <w:p>
      <w:pPr>
        <w:pStyle w:val="NoSpacing"/>
      </w:pPr>
    </w:p>
    <w:p>
      <w:pPr>
        <w:pStyle w:val="NoSpacing"/>
      </w:pPr>
    </w:p>
    <w:p>
      <w:pPr>
        <w:pStyle w:val="NoSpacing"/>
      </w:pPr>
    </w:p>
    <w:p>
      <w:pPr>
        <w:pStyle w:val="NoSpacing"/>
      </w:pPr>
    </w:p>
    <w:p>
      <w:pPr>
        <w:pStyle w:val="NoSpacing"/>
      </w:pPr>
      <w:r>
        <w:rPr>
          <w:rFonts w:ascii="Calibri" w:hAnsi="Calibri"/>
          <w:b/>
          <w:sz w:val="24"/>
        </w:rPr>
        <w:t xml:space="preserve">Autores:  </w:t>
      </w:r>
      <w:r>
        <w:rPr>
          <w:rFonts w:ascii="Calibri" w:hAnsi="Calibri"/>
          <w:sz w:val="24"/>
        </w:rPr>
        <w:t>Juan Camilo Rico Ballesteros</w:t>
      </w:r>
    </w:p>
    <w:p>
      <w:pPr>
        <w:pStyle w:val="NoSpacing"/>
      </w:pPr>
      <w:r>
        <w:rPr>
          <w:rFonts w:ascii="Calibri" w:hAnsi="Calibri"/>
          <w:sz w:val="24"/>
        </w:rPr>
        <w:t>Juan José Blanco Mendoza</w:t>
      </w:r>
    </w:p>
    <w:p>
      <w:pPr>
        <w:pStyle w:val="NoSpacing"/>
      </w:pPr>
      <w:r>
        <w:rPr>
          <w:rFonts w:ascii="Calibri" w:hAnsi="Calibri"/>
          <w:sz w:val="24"/>
        </w:rPr>
        <w:t>José Manuel Machado Loaiza</w:t>
      </w:r>
    </w:p>
    <w:p>
      <w:pPr>
        <w:pStyle w:val="NoSpacing"/>
      </w:pPr>
      <w:r>
        <w:rPr>
          <w:rFonts w:ascii="Calibri" w:hAnsi="Calibri"/>
          <w:b/>
          <w:sz w:val="24"/>
        </w:rPr>
        <w:t xml:space="preserve">Tipo de trabajo:  </w:t>
      </w:r>
      <w:r>
        <w:rPr>
          <w:rFonts w:ascii="Calibri" w:hAnsi="Calibri"/>
          <w:sz w:val="24"/>
        </w:rPr>
        <w:t>Comparativa de soluciones</w:t>
      </w:r>
    </w:p>
    <w:p>
      <w:pPr>
        <w:pStyle w:val="NoSpacing"/>
      </w:pPr>
      <w:r>
        <w:rPr>
          <w:rFonts w:ascii="Calibri" w:hAnsi="Calibri"/>
          <w:b/>
          <w:sz w:val="24"/>
        </w:rPr>
        <w:t xml:space="preserve">Directora:  </w:t>
      </w:r>
      <w:r>
        <w:rPr>
          <w:rFonts w:ascii="Calibri" w:hAnsi="Calibri"/>
          <w:sz w:val="24"/>
        </w:rPr>
        <w:t>Marta María Arguedas Lafuente</w:t>
      </w:r>
    </w:p>
    <w:p>
      <w:pPr>
        <w:pStyle w:val="NoSpacing"/>
      </w:pPr>
      <w:r>
        <w:rPr>
          <w:rFonts w:ascii="Calibri" w:hAnsi="Calibri"/>
          <w:b/>
          <w:sz w:val="24"/>
        </w:rPr>
        <w:t xml:space="preserve">Curso académico:  </w:t>
      </w:r>
      <w:r>
        <w:rPr>
          <w:rFonts w:ascii="Calibri" w:hAnsi="Calibri"/>
          <w:sz w:val="24"/>
        </w:rPr>
        <w:t>2024-2025</w:t>
      </w:r>
    </w:p>
    <w:p>
      <w:r>
        <w:br w:type="page"/>
      </w:r>
    </w:p>
    <w:p>
      <w:pPr>
        <w:pStyle w:val="Ttulondices"/>
      </w:pPr>
      <w:r>
        <w:t>Índice de contenidos</w:t>
      </w:r>
    </w:p>
    <w:p>
      <w:pPr/>
      <w:r>
        <w:fldChar w:fldCharType="begin"/>
        <w:instrText xml:space="preserve">TOC \o "1-3" \h \z \u</w:instrText>
        <w:fldChar w:fldCharType="separate"/>
      </w:r>
      <w:r>
        <w:rPr>
          <w:i/>
          <w:color w:val="808080"/>
        </w:rPr>
        <w:t>[Actualizar con clic derecho → Actualizar campo]</w:t>
      </w:r>
      <w:r>
        <w:fldChar w:fldCharType="end"/>
      </w:r>
    </w:p>
    <w:p>
      <w:r>
        <w:br w:type="page"/>
      </w:r>
    </w:p>
    <w:p>
      <w:pPr>
        <w:pStyle w:val="Ttulondices"/>
      </w:pPr>
      <w:r>
        <w:t>Índice de figuras</w:t>
      </w:r>
    </w:p>
    <w:p>
      <w:pPr/>
      <w:r>
        <w:fldChar w:fldCharType="begin"/>
        <w:instrText xml:space="preserve">TOC \h \z \c "Figuras"</w:instrText>
        <w:fldChar w:fldCharType="separate"/>
      </w:r>
      <w:r>
        <w:rPr>
          <w:i/>
          <w:color w:val="808080"/>
        </w:rPr>
        <w:t>[Actualizar con clic derecho → Actualizar campo]</w:t>
      </w:r>
      <w:r>
        <w:fldChar w:fldCharType="end"/>
      </w:r>
    </w:p>
    <w:p>
      <w:r>
        <w:br w:type="page"/>
      </w:r>
    </w:p>
    <w:p>
      <w:pPr>
        <w:pStyle w:val="Ttulondices"/>
      </w:pPr>
      <w:r>
        <w:t>Índice de tablas</w:t>
      </w:r>
    </w:p>
    <w:p>
      <w:pPr/>
      <w:r>
        <w:fldChar w:fldCharType="begin"/>
        <w:instrText xml:space="preserve">TOC \h \z \c "Tabla"</w:instrText>
        <w:fldChar w:fldCharType="separate"/>
      </w:r>
      <w:r>
        <w:rPr>
          <w:i/>
          <w:color w:val="808080"/>
        </w:rPr>
        <w:t>[Actualizar con clic derecho → Actualizar campo]</w:t>
      </w:r>
      <w:r>
        <w:fldChar w:fldCharType="end"/>
      </w:r>
    </w:p>
    <w:p>
      <w:r>
        <w:br w:type="page"/>
      </w:r>
    </w:p>
    <w:p>
      <w:pPr>
        <w:pStyle w:val="Ttulo1sinnumerar"/>
      </w:pPr>
      <w:r>
        <w:t>Resumen</w:t>
      </w:r>
    </w:p>
    <w:p>
      <w:pPr/>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como esquema de evaluación.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r>
        <w:t xml:space="preserve">Los resultados muestran que ETS (AutoETS) obtiene el menor error en las seis métricas evaluadas, con un sMAPE medio del 10,0 % frente al 13,7 % del Seasonal Naïve (mejora de 3,7 puntos porcentuales; IC bootstrap al 95 %: [−4,52, −3,26] pp). Los métodos estadísticos clásicos superan en precisión y estabilidad a los modelos de machine learning y deep learning bajo las condiciones experimentales, resultado coherente con la literatura de benchmarking para series de longitud moderada. Con base en estos hallazgos se propone un framework de tres reglas operativas para la selección de modelos en entornos de FP&amp;A mensuales.</w:t>
      </w:r>
    </w:p>
    <w:p>
      <w:pPr/>
      <w:r>
        <w:rPr>
          <w:b/>
        </w:rPr>
        <w:t xml:space="preserve">Palabras clave: </w:t>
      </w:r>
      <w:r>
        <w:t xml:space="preserve">backtesting temporal; walk-forward; FP&amp;A; pronóstico de series temporales financieras; ETS; métricas de impacto económico; WAPE; intervalos de confianza bootstrap.</w:t>
      </w:r>
    </w:p>
    <w:p>
      <w:pPr>
        <w:pStyle w:val="Ttulo1sinnumerar"/>
      </w:pPr>
      <w:r>
        <w:t>Abstract</w:t>
      </w:r>
    </w:p>
    <w:p>
      <w:pPr/>
      <w:r>
        <w:t xml:space="preserve">Financial Planning and Analysis (FP&amp;A) is a strategic organizational function whose effectiveness depends on generating accurate and reliable forecasts of financial variables. Despite its criticality for monthly close cycles, budget deviation detection, and executive decision-making, model selection in this domain is frequently driven by heuristic criteria rather than systematic quantitative evaluation.</w:t>
      </w:r>
    </w:p>
    <w:p>
      <w:pPr/>
      <w:r>
        <w:t xml:space="preserve">This paper presents a comparative evaluation of forecast model families applied to monthly financial time series using a walk-forward temporal backtesting protocol. A modular, reproducible Python pipeline integrates classical statistical methods (Seasonal Naïve, ETS, Holt-Winters, SARIMA), gradient boosting algorithms (LightGBM), and deep learning architectures (MLP, N-BEATS). Performance is quantified using six metrics: statistical error metrics (MAE, RMSE, MAPE, sMAPE, MASE) and an economic impact metric (WAPE). The experiment is conducted on a stratified subsample of 200 series from the M4 Financial Monthly dataset, applying up to five walk-forward folds per series (initial window: 54 months, forecast horizon: 18 months).</w:t>
      </w:r>
    </w:p>
    <w:p>
      <w:pPr/>
      <w:r>
        <w:t xml:space="preserve">ETS achieved the lowest error across all six metrics (sMAPE = 10.0 % vs. 13.7 % for Seasonal Naïve), with all improvements statistically significant at the 95 % level (bootstrap percentile method, B = 1,000, N = 200 series; CI: [−4.52, −3.26] pp). Classical statistical methods outperformed machine learning and deep learning models under these experimental conditions, consistent with benchmarking literature for moderate-length series. A three-rule operational framework for model selection in FP&amp;A environments is proposed and validated against predefined success criteria.</w:t>
      </w:r>
    </w:p>
    <w:p>
      <w:pPr/>
      <w:r>
        <w:rPr>
          <w:b/>
        </w:rPr>
        <w:t xml:space="preserve">Keywords: </w:t>
      </w:r>
      <w:r>
        <w:t xml:space="preserve">temporal backtesting; walk-forward; FP&amp;A; financial time series forecasting; ETS; economic impact metrics; WAPE; bootstrap confidence intervals.</w:t>
      </w:r>
    </w:p>
    <w:p>
      <w:pPr>
        <w:pStyle w:val="Ttulo1sinnumerar"/>
      </w:pPr>
      <w:r>
        <w:t>Organización del trabajo en grupo</w:t>
      </w:r>
    </w:p>
    <w:p>
      <w:pPr/>
      <w:r>
        <w:t>El presente TFE aborda la problemática identificada en la introducción: la brecha entre la complejidad del dato financiero y la simplicidad de los métodos de pronóstico predominantes en FP&amp;A. Para cerrar esta brecha, el trabajo se estructura en tres componentes técnicos diferenciados que, individualmente, constituyen aportes sustanciales al campo de la inteligencia artificial aplicada a las finanzas corporativas.</w:t>
      </w:r>
    </w:p>
    <w:p>
      <w:pPr>
        <w:pStyle w:val="Heading2"/>
      </w:pPr>
      <w:r>
        <w:t>Partes que aborda el TFE</w:t>
      </w:r>
    </w:p>
    <w:p>
      <w:pPr/>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pPr/>
      <w:r>
        <w:rPr>
          <w:b/>
        </w:rPr>
        <w:t xml:space="preserve">Entregables: </w:t>
      </w:r>
      <w:r>
        <w:t xml:space="preserve">módulo src/backtesting.py (motor walk-forward); src/preprocessing.py (pipeline temporalmente consciente); tests automatizados de ausencia de fuga de datos.</w:t>
      </w:r>
    </w:p>
    <w:p>
      <w:pPr/>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pPr/>
      <w:r>
        <w:rPr>
          <w:b/>
        </w:rPr>
        <w:t xml:space="preserve">Entregables: </w:t>
      </w:r>
      <w:r>
        <w:t xml:space="preserve">siete implementaciones de modelos en src/models/; clase BaseForecaster con interfaz común; script de ejecución del experimento run_experiment.py.</w:t>
      </w:r>
    </w:p>
    <w:p>
      <w:pPr/>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pPr/>
      <w:r>
        <w:rPr>
          <w:b/>
        </w:rPr>
        <w:t xml:space="preserve">Entregables: </w:t>
      </w:r>
      <w:r>
        <w:t xml:space="preserve">módulo src/evaluation.py (seis métricas); figuras en results/figures/; tablas de resultados en results/tables/; repositorio reproducible con entorno Conda.</w:t>
      </w:r>
    </w:p>
    <w:p>
      <w:pPr>
        <w:pStyle w:val="Heading2"/>
      </w:pPr>
      <w:r>
        <w:t>Distribución y estructura de la memoria</w:t>
      </w:r>
    </w:p>
    <w:p>
      <w:pPr>
        <w:pStyle w:val="Caption"/>
      </w:pPr>
      <w:r>
        <w:t>Tabla 1. Organización del trabajo en grupo: distribución de responsabilidades.</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Apartado de la memoria</w:t>
            </w:r>
          </w:p>
        </w:tc>
        <w:tc>
          <w:tcPr>
            <w:tcW w:type="dxa" w:w="4535"/>
          </w:tcPr>
          <w:p>
            <w:pPr>
              <w:spacing w:before="60" w:after="60"/>
            </w:pPr>
            <w:r>
              <w:rPr>
                <w:b/>
              </w:rPr>
              <w:t>Responsables</w:t>
            </w:r>
          </w:p>
        </w:tc>
      </w:tr>
      <w:tr>
        <w:tc>
          <w:tcPr>
            <w:tcW w:type="dxa" w:w="4535"/>
          </w:tcPr>
          <w:p>
            <w:pPr/>
            <w:r>
              <w:t>Introducción</w:t>
            </w:r>
          </w:p>
        </w:tc>
        <w:tc>
          <w:tcPr>
            <w:tcW w:type="dxa" w:w="4535"/>
          </w:tcPr>
          <w:p>
            <w:pPr/>
            <w:r>
              <w:t>Juan Camilo Rico Ballesteros</w:t>
            </w:r>
          </w:p>
        </w:tc>
      </w:tr>
      <w:tr>
        <w:tc>
          <w:tcPr>
            <w:tcW w:type="dxa" w:w="4535"/>
          </w:tcPr>
          <w:p>
            <w:pPr/>
            <w:r>
              <w:t>Contexto y estado del arte</w:t>
            </w:r>
          </w:p>
        </w:tc>
        <w:tc>
          <w:tcPr>
            <w:tcW w:type="dxa" w:w="4535"/>
          </w:tcPr>
          <w:p>
            <w:pPr/>
            <w:r>
              <w:t>Juan José Blanco Mendoza</w:t>
            </w:r>
          </w:p>
        </w:tc>
      </w:tr>
      <w:tr>
        <w:tc>
          <w:tcPr>
            <w:tcW w:type="dxa" w:w="4535"/>
          </w:tcPr>
          <w:p>
            <w:pPr/>
            <w:r>
              <w:t>Objetivos y metodología de trabajo</w:t>
            </w:r>
          </w:p>
        </w:tc>
        <w:tc>
          <w:tcPr>
            <w:tcW w:type="dxa" w:w="4535"/>
          </w:tcPr>
          <w:p>
            <w:pPr/>
            <w:r>
              <w:t>José Manuel Machado Loaiza</w:t>
            </w:r>
          </w:p>
        </w:tc>
      </w:tr>
      <w:tr>
        <w:tc>
          <w:tcPr>
            <w:tcW w:type="dxa" w:w="4535"/>
          </w:tcPr>
          <w:p>
            <w:pPr/>
            <w:r>
              <w:t>Arquitectura, preprocesamiento, backtesting</w:t>
            </w:r>
          </w:p>
        </w:tc>
        <w:tc>
          <w:tcPr>
            <w:tcW w:type="dxa" w:w="4535"/>
          </w:tcPr>
          <w:p>
            <w:pPr/>
            <w:r>
              <w:t>José Manuel Machado Loaiza</w:t>
            </w:r>
          </w:p>
        </w:tc>
      </w:tr>
      <w:tr>
        <w:tc>
          <w:tcPr>
            <w:tcW w:type="dxa" w:w="4535"/>
          </w:tcPr>
          <w:p>
            <w:pPr/>
            <w:r>
              <w:t>Módulos de modelos (baseline, estadístico, ML, DL)</w:t>
            </w:r>
          </w:p>
        </w:tc>
        <w:tc>
          <w:tcPr>
            <w:tcW w:type="dxa" w:w="4535"/>
          </w:tcPr>
          <w:p>
            <w:pPr/>
            <w:r>
              <w:t>Juan Camilo Rico Ballesteros</w:t>
            </w:r>
          </w:p>
        </w:tc>
      </w:tr>
      <w:tr>
        <w:tc>
          <w:tcPr>
            <w:tcW w:type="dxa" w:w="4535"/>
          </w:tcPr>
          <w:p>
            <w:pPr/>
            <w:r>
              <w:t>Evaluación, métricas económicas, visualización</w:t>
            </w:r>
          </w:p>
        </w:tc>
        <w:tc>
          <w:tcPr>
            <w:tcW w:type="dxa" w:w="4535"/>
          </w:tcPr>
          <w:p>
            <w:pPr/>
            <w:r>
              <w:t>Juan José Blanco Mendoza</w:t>
            </w:r>
          </w:p>
        </w:tc>
      </w:tr>
      <w:tr>
        <w:tc>
          <w:tcPr>
            <w:tcW w:type="dxa" w:w="4535"/>
          </w:tcPr>
          <w:p>
            <w:pPr/>
            <w:r>
              <w:t>Diseño del experimento y configuración</w:t>
            </w:r>
          </w:p>
        </w:tc>
        <w:tc>
          <w:tcPr>
            <w:tcW w:type="dxa" w:w="4535"/>
          </w:tcPr>
          <w:p>
            <w:pPr/>
            <w:r>
              <w:t>José Manuel Machado Loaiza, Juan Camilo Rico Ballesteros</w:t>
            </w:r>
          </w:p>
        </w:tc>
      </w:tr>
      <w:tr>
        <w:tc>
          <w:tcPr>
            <w:tcW w:type="dxa" w:w="4535"/>
          </w:tcPr>
          <w:p>
            <w:pPr/>
            <w:r>
              <w:t>Resultados, estabilidad temporal, deciles</w:t>
            </w:r>
          </w:p>
        </w:tc>
        <w:tc>
          <w:tcPr>
            <w:tcW w:type="dxa" w:w="4535"/>
          </w:tcPr>
          <w:p>
            <w:pPr/>
            <w:r>
              <w:t>Juan José Blanco Mendoza</w:t>
            </w:r>
          </w:p>
        </w:tc>
      </w:tr>
      <w:tr>
        <w:tc>
          <w:tcPr>
            <w:tcW w:type="dxa" w:w="4535"/>
          </w:tcPr>
          <w:p>
            <w:pPr/>
            <w:r>
              <w:t>Análisis de errores y comparativa</w:t>
            </w:r>
          </w:p>
        </w:tc>
        <w:tc>
          <w:tcPr>
            <w:tcW w:type="dxa" w:w="4535"/>
          </w:tcPr>
          <w:p>
            <w:pPr/>
            <w:r>
              <w:t>Juan Camilo Rico Ballesteros</w:t>
            </w:r>
          </w:p>
        </w:tc>
      </w:tr>
      <w:tr>
        <w:tc>
          <w:tcPr>
            <w:tcW w:type="dxa" w:w="4535"/>
          </w:tcPr>
          <w:p>
            <w:pPr/>
            <w:r>
              <w:t>Métricas económicas e impacto de capital</w:t>
            </w:r>
          </w:p>
        </w:tc>
        <w:tc>
          <w:tcPr>
            <w:tcW w:type="dxa" w:w="4535"/>
          </w:tcPr>
          <w:p>
            <w:pPr/>
            <w:r>
              <w:t>Juan José Blanco Mendoza</w:t>
            </w:r>
          </w:p>
        </w:tc>
      </w:tr>
      <w:tr>
        <w:tc>
          <w:tcPr>
            <w:tcW w:type="dxa" w:w="4535"/>
          </w:tcPr>
          <w:p>
            <w:pPr/>
            <w:r>
              <w:t>Conclusiones</w:t>
            </w:r>
          </w:p>
        </w:tc>
        <w:tc>
          <w:tcPr>
            <w:tcW w:type="dxa" w:w="4535"/>
          </w:tcPr>
          <w:p>
            <w:pPr/>
            <w:r>
              <w:t>Todos</w:t>
            </w:r>
          </w:p>
        </w:tc>
      </w:tr>
    </w:tbl>
    <w:p>
      <w:pPr>
        <w:pStyle w:val="Piedefoto-tabla"/>
      </w:pPr>
      <w:r>
        <w:t>Fuente: elaboración propia.</w:t>
      </w:r>
    </w:p>
    <w:p>
      <w:pPr>
        <w:pStyle w:val="Heading2"/>
      </w:pPr>
      <w:r>
        <w:t>Objetivos individuales por integrante</w:t>
      </w:r>
    </w:p>
    <w:p>
      <w:pPr/>
      <w:r>
        <w:t xml:space="preserve">Juan Camilo Rico Ballesteros: implementar los módulos de modelos de pronóstico (baseline, estadísticos, ML y DL) con la interfaz común BaseForecaster; redactar la introducción del trabajo y desarrollar el análisis comparativo de errores entre arquitecturas.</w:t>
      </w:r>
    </w:p>
    <w:p>
      <w:pPr/>
      <w:r>
        <w:t xml:space="preserve">Juan José Blanco Mendoza: diseñar e implementar el sistema de evaluación con métricas estadísticas y económicas (WAPE, análisis por deciles de volumen) y sus visualizaciones; desarrollar el análisis de estabilidad temporal y redactar el capítulo de contexto y estado del arte.</w:t>
      </w:r>
    </w:p>
    <w:p>
      <w:pPr/>
      <w:r>
        <w:t xml:space="preserve">José Manuel Machado Loaiza: diseñar e implementar la infraestructura de backtesting walk-forward y el pipeline de preprocesamiento; definir la metodología, el diseño del experimento y la configuración del pipeline reproducible.</w:t>
      </w:r>
    </w:p>
    <w:p>
      <w:pPr>
        <w:pStyle w:val="Heading2"/>
      </w:pPr>
      <w:r>
        <w:t>Mecanismos de coordinación</w:t>
      </w:r>
    </w:p>
    <w:p>
      <w:pPr/>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pPr/>
      <w:r>
        <w:rPr>
          <w:b/>
        </w:rPr>
        <w:t>Comunicación asincrónica:</w:t>
      </w:r>
      <w:r>
        <w:t xml:space="preserve"> WhatsApp para comunicaciones urgentes; Word Online para la elaboración colaborativa de la memoria con seguimiento de cambios; OneDrive para la gestión de versiones del documento.</w:t>
      </w:r>
    </w:p>
    <w:p>
      <w:pPr/>
      <w:r>
        <w:rPr>
          <w:b/>
        </w:rPr>
        <w:t>Documentación y código:</w:t>
      </w:r>
      <w:r>
        <w:t xml:space="preserve"> la memoria se mantiene en este repositorio con control de versiones. El código fuente se gestiona en un repositorio privado de GitHub con tablero Kanban en GitHub Projects.</w:t>
      </w:r>
    </w:p>
    <w:p>
      <w:pPr/>
      <w:r>
        <w:t xml:space="preserve">La distribución de responsabilidades y los mecanismos de coordinación descritos fueron acordados por los integrantes del grupo y puestos en conocimiento de la directora del trabajo, Dra. Marta María Arguedas Lafuente.</w:t>
      </w:r>
    </w:p>
    <w:p>
      <w:r>
        <w:br w:type="page"/>
      </w:r>
    </w:p>
    <w:p>
      <w:r>
        <w:br w:type="page"/>
      </w:r>
    </w:p>
    <w:p>
      <w:pPr>
        <w:pStyle w:val="Heading1"/>
      </w:pPr>
      <w:r>
        <w:t>Introducción</w:t>
      </w:r>
    </w:p>
    <w:p>
      <w:pPr/>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pPr/>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pPr/>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pPr>
        <w:pStyle w:val="Heading2"/>
      </w:pPr>
      <w:r>
        <w:t>Motivación</w:t>
      </w:r>
    </w:p>
    <w:p>
      <w:pPr/>
      <w:r>
        <w:t>La Planificación y Análisis Financiero (FP&amp;A) constituye el pilar estratégico sobre el cual las organizaciones fundamentan su continuidad operativa y su planificación estratégica.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pPr/>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pPr/>
      <w:r>
        <w:t xml:space="preserve">La importancia de este estudio radica en la propuesta de un marco de evaluación que va más allá del error estadístico puro. Resulta necesario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pPr>
        <w:pStyle w:val="Heading2"/>
      </w:pPr>
      <w:r>
        <w:t>Planteamiento del trabajo</w:t>
      </w:r>
    </w:p>
    <w:p>
      <w:pPr/>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pPr/>
      <w:r>
        <w:t>Esta brecha no es un problema meramente académico; es un problema metodológico de fondo.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pPr/>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2.</w:t>
      </w:r>
    </w:p>
    <w:p>
      <w:pPr>
        <w:pStyle w:val="Caption"/>
      </w:pPr>
      <w:r>
        <w:t>Tabla 2. Familias de modelos evaluados, ordenados por complejidad algorítmica creciente.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Nivel</w:t>
            </w:r>
          </w:p>
        </w:tc>
        <w:tc>
          <w:tcPr>
            <w:tcW w:type="dxa" w:w="3024"/>
          </w:tcPr>
          <w:p>
            <w:pPr>
              <w:spacing w:before="60" w:after="60"/>
            </w:pPr>
            <w:r>
              <w:rPr>
                <w:b/>
              </w:rPr>
              <w:t>Modelos</w:t>
            </w:r>
          </w:p>
        </w:tc>
        <w:tc>
          <w:tcPr>
            <w:tcW w:type="dxa" w:w="3024"/>
          </w:tcPr>
          <w:p>
            <w:pPr>
              <w:spacing w:before="60" w:after="60"/>
            </w:pPr>
            <w:r>
              <w:rPr>
                <w:b/>
              </w:rPr>
              <w:t>Capacidad característica</w:t>
            </w:r>
          </w:p>
        </w:tc>
      </w:tr>
      <w:tr>
        <w:tc>
          <w:tcPr>
            <w:tcW w:type="dxa" w:w="3024"/>
          </w:tcPr>
          <w:p>
            <w:pPr/>
            <w:r>
              <w:t>Baseline estadístico</w:t>
            </w:r>
          </w:p>
        </w:tc>
        <w:tc>
          <w:tcPr>
            <w:tcW w:type="dxa" w:w="3024"/>
          </w:tcPr>
          <w:p>
            <w:pPr/>
            <w:r>
              <w:t>Seasonal Naïve</w:t>
            </w:r>
          </w:p>
        </w:tc>
        <w:tc>
          <w:tcPr>
            <w:tcW w:type="dxa" w:w="3024"/>
          </w:tcPr>
          <w:p>
            <w:pPr/>
            <w:r>
              <w:t>Referencia mínima: repite el patrón estacional del año anterior</w:t>
            </w:r>
          </w:p>
        </w:tc>
      </w:tr>
      <w:tr>
        <w:tc>
          <w:tcPr>
            <w:tcW w:type="dxa" w:w="3024"/>
          </w:tcPr>
          <w:p>
            <w:pPr/>
            <w:r>
              <w:t>Estadístico clásico</w:t>
            </w:r>
          </w:p>
        </w:tc>
        <w:tc>
          <w:tcPr>
            <w:tcW w:type="dxa" w:w="3024"/>
          </w:tcPr>
          <w:p>
            <w:pPr/>
            <w:r>
              <w:t>ETS, Holt-Winters, SARIMA</w:t>
            </w:r>
          </w:p>
        </w:tc>
        <w:tc>
          <w:tcPr>
            <w:tcW w:type="dxa" w:w="3024"/>
          </w:tcPr>
          <w:p>
            <w:pPr/>
            <w:r>
              <w:t>Captura tendencia y estacionalidad; parsimonia paramétrica</w:t>
            </w:r>
          </w:p>
        </w:tc>
      </w:tr>
      <w:tr>
        <w:tc>
          <w:tcPr>
            <w:tcW w:type="dxa" w:w="3024"/>
          </w:tcPr>
          <w:p>
            <w:pPr/>
            <w:r>
              <w:t>Machine Learning</w:t>
            </w:r>
          </w:p>
        </w:tc>
        <w:tc>
          <w:tcPr>
            <w:tcW w:type="dxa" w:w="3024"/>
          </w:tcPr>
          <w:p>
            <w:pPr/>
            <w:r>
              <w:t>LightGBM</w:t>
            </w:r>
          </w:p>
        </w:tc>
        <w:tc>
          <w:tcPr>
            <w:tcW w:type="dxa" w:w="3024"/>
          </w:tcPr>
          <w:p>
            <w:pPr/>
            <w:r>
              <w:t>Relaciones no lineales mediante gradient boosting global</w:t>
            </w:r>
          </w:p>
        </w:tc>
      </w:tr>
      <w:tr>
        <w:tc>
          <w:tcPr>
            <w:tcW w:type="dxa" w:w="3024"/>
          </w:tcPr>
          <w:p>
            <w:pPr/>
            <w:r>
              <w:t>Deep Learning</w:t>
            </w:r>
          </w:p>
        </w:tc>
        <w:tc>
          <w:tcPr>
            <w:tcW w:type="dxa" w:w="3024"/>
          </w:tcPr>
          <w:p>
            <w:pPr/>
            <w:r>
              <w:t>MLP, N-BEATS</w:t>
            </w:r>
          </w:p>
        </w:tc>
        <w:tc>
          <w:tcPr>
            <w:tcW w:type="dxa" w:w="3024"/>
          </w:tcPr>
          <w:p>
            <w:pPr/>
            <w:r>
              <w:t>Patrones complejos; N-BEATS con descomposición tendencia/estacionalidad</w:t>
            </w:r>
          </w:p>
        </w:tc>
      </w:tr>
    </w:tbl>
    <w:p>
      <w:pPr>
        <w:pStyle w:val="Piedefoto-tabla"/>
      </w:pPr>
      <w:r>
        <w:t>Fuente: elaboración propia.</w:t>
      </w:r>
    </w:p>
    <w:p>
      <w:pPr/>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pPr>
        <w:pStyle w:val="Heading2"/>
      </w:pPr>
      <w:r>
        <w:t>Estructura del trabajo</w:t>
      </w:r>
    </w:p>
    <w:p>
      <w:pPr/>
      <w:r>
        <w:t>Para abordar de manera sistemática el problema de la brecha metodológica en el entorno de FP&amp;A, la presente memoria se estructura en siete capítulos, siguiendo la organización de una comparativa de soluciones:</w:t>
      </w:r>
    </w:p>
    <w:p>
      <w:pPr>
        <w:pStyle w:val="ListParagraph"/>
      </w:pPr>
      <w:r>
        <w:t xml:space="preserve">• </w:t>
      </w:r>
      <w:r>
        <w:rPr>
          <w:b/>
        </w:rPr>
        <w:t>Capítulo 1 (presente).</w:t>
      </w:r>
      <w:r>
        <w:t xml:space="preserve"> Introducción, motivación y planteamiento del problema.</w:t>
      </w:r>
    </w:p>
    <w:p>
      <w:pPr>
        <w:pStyle w:val="ListParagraph"/>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pPr>
        <w:pStyle w:val="ListParagraph"/>
      </w:pPr>
      <w:r>
        <w:t xml:space="preserve">• </w:t>
      </w:r>
      <w:r>
        <w:rPr>
          <w:b/>
        </w:rPr>
        <w:t>Capítulo 3. Objetivos concretos y metodología de trabajo.</w:t>
      </w:r>
      <w:r>
        <w:t xml:space="preserve"> Objetivo general y objetivos específicos SMART, y descripción de las seis fases de ejecución del proyecto.</w:t>
      </w:r>
    </w:p>
    <w:p>
      <w:pPr>
        <w:pStyle w:val="ListParagraph"/>
      </w:pPr>
      <w:r>
        <w:t xml:space="preserve">• </w:t>
      </w:r>
      <w:r>
        <w:rPr>
          <w:b/>
        </w:rPr>
        <w:t>Capítulo 4. Planteamiento de la comparativa.</w:t>
      </w:r>
      <w:r>
        <w:t xml:space="preserve"> Descripción del diseño experimental: dataset, modelos seleccionados, métricas adoptadas, protocolo walk-forward y criterios de éxito.</w:t>
      </w:r>
    </w:p>
    <w:p>
      <w:pPr>
        <w:pStyle w:val="ListParagraph"/>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pPr>
        <w:pStyle w:val="ListParagraph"/>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pPr>
        <w:pStyle w:val="ListParagraph"/>
      </w:pPr>
      <w:r>
        <w:t xml:space="preserve">• </w:t>
      </w:r>
      <w:r>
        <w:rPr>
          <w:b/>
        </w:rPr>
        <w:t xml:space="preserve">Capítulo 7. Conclusiones y trabajo futuro.</w:t>
      </w:r>
      <w:r>
        <w:t xml:space="preserve"> Síntesis de hallazgos por objetivo específico, grado de cumplimiento, limitaciones del estudio y líneas de investigación futura.</w:t>
      </w:r>
    </w:p>
    <w:p>
      <w:pPr/>
      <w:r>
        <w:t>El Anexo A incluye el acceso al repositorio con el código fuente modular desarrollado en Python y la documentación técnica necesaria para la reproducibilidad de los experimentos.</w:t>
      </w:r>
    </w:p>
    <w:p>
      <w:r>
        <w:br w:type="page"/>
      </w:r>
    </w:p>
    <w:p>
      <w:pPr>
        <w:pStyle w:val="Heading1"/>
      </w:pPr>
      <w:r>
        <w:t>Contexto y estado del arte</w:t>
      </w:r>
    </w:p>
    <w:p>
      <w:pPr/>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pPr>
        <w:pStyle w:val="Heading2"/>
      </w:pPr>
      <w:r>
        <w:t>Contexto del problema</w:t>
      </w:r>
    </w:p>
    <w:p>
      <w:pPr/>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pPr/>
      <w:r>
        <w:t>Las series financieras corporativas presentan un conjunto de propiedades que complican significativamente su modelización predictiva. La Tabla 3 sintetiza estas características, sus implicaciones para el modelado y las referencias que las documentan.</w:t>
      </w:r>
    </w:p>
    <w:p>
      <w:pPr>
        <w:pStyle w:val="Caption"/>
      </w:pPr>
      <w:r>
        <w:t>Tabla 3. Características de las series temporales financieras y sus implicaciones para el modelado.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Característica</w:t>
            </w:r>
          </w:p>
        </w:tc>
        <w:tc>
          <w:tcPr>
            <w:tcW w:type="dxa" w:w="3024"/>
          </w:tcPr>
          <w:p>
            <w:pPr>
              <w:spacing w:before="60" w:after="60"/>
            </w:pPr>
            <w:r>
              <w:rPr>
                <w:b/>
              </w:rPr>
              <w:t>Descripción</w:t>
            </w:r>
          </w:p>
        </w:tc>
        <w:tc>
          <w:tcPr>
            <w:tcW w:type="dxa" w:w="3024"/>
          </w:tcPr>
          <w:p>
            <w:pPr>
              <w:spacing w:before="60" w:after="60"/>
            </w:pPr>
            <w:r>
              <w:rPr>
                <w:b/>
              </w:rPr>
              <w:t>Implicación para el modelado</w:t>
            </w:r>
          </w:p>
        </w:tc>
      </w:tr>
      <w:tr>
        <w:tc>
          <w:tcPr>
            <w:tcW w:type="dxa" w:w="3024"/>
          </w:tcPr>
          <w:p>
            <w:pPr/>
            <w:r>
              <w:t>Estacionalidad heterogénea</w:t>
            </w:r>
          </w:p>
        </w:tc>
        <w:tc>
          <w:tcPr>
            <w:tcW w:type="dxa" w:w="3024"/>
          </w:tcPr>
          <w:p>
            <w:pPr/>
            <w:r>
              <w:t>Distintas cuentas contables exhiben patrones estacionales propios: ingresos con picos trimestrales, gastos con periodicidad diferente</w:t>
            </w:r>
          </w:p>
        </w:tc>
        <w:tc>
          <w:tcPr>
            <w:tcW w:type="dxa" w:w="3024"/>
          </w:tcPr>
          <w:p>
            <w:pPr/>
            <w:r>
              <w:t>Un único modelo difícilmente funciona de forma homogénea en todas las líneas contables</w:t>
            </w:r>
          </w:p>
        </w:tc>
      </w:tr>
      <w:tr>
        <w:tc>
          <w:tcPr>
            <w:tcW w:type="dxa" w:w="3024"/>
          </w:tcPr>
          <w:p>
            <w:pPr/>
            <w:r>
              <w:t>No-estacionariedad y cambios estructurales</w:t>
            </w:r>
          </w:p>
        </w:tc>
        <w:tc>
          <w:tcPr>
            <w:tcW w:type="dxa" w:w="3024"/>
          </w:tcPr>
          <w:p>
            <w:pPr/>
            <w:r>
              <w:t>Adquisiciones, shocks macroeconómicos o cambios regulatorios generan rupturas abruptas en las dinámicas históricas</w:t>
            </w:r>
          </w:p>
        </w:tc>
        <w:tc>
          <w:tcPr>
            <w:tcW w:type="dxa" w:w="3024"/>
          </w:tcPr>
          <w:p>
            <w:pPr/>
            <w:r>
              <w:t>Los parámetros estimados antes del cambio pueden resultar inválidos</w:t>
            </w:r>
          </w:p>
        </w:tc>
      </w:tr>
      <w:tr>
        <w:tc>
          <w:tcPr>
            <w:tcW w:type="dxa" w:w="3024"/>
          </w:tcPr>
          <w:p>
            <w:pPr/>
            <w:r>
              <w:t>Dependencias no lineales</w:t>
            </w:r>
          </w:p>
        </w:tc>
        <w:tc>
          <w:tcPr>
            <w:tcW w:type="dxa" w:w="3024"/>
          </w:tcPr>
          <w:p>
            <w:pPr/>
            <w:r>
              <w:t>Saturación del crecimiento, economías de escala o elasticidades variables generan relaciones no lineales</w:t>
            </w:r>
          </w:p>
        </w:tc>
        <w:tc>
          <w:tcPr>
            <w:tcW w:type="dxa" w:w="3024"/>
          </w:tcPr>
          <w:p>
            <w:pPr/>
            <w:r>
              <w:t>Los métodos paramétricos estándar no capturan estas relaciones (Hyndman y Athanasopoulos, 2021)</w:t>
            </w:r>
          </w:p>
        </w:tc>
      </w:tr>
      <w:tr>
        <w:tc>
          <w:tcPr>
            <w:tcW w:type="dxa" w:w="3024"/>
          </w:tcPr>
          <w:p>
            <w:pPr/>
            <w:r>
              <w:t>Ruido y valores atípicos</w:t>
            </w:r>
          </w:p>
        </w:tc>
        <w:tc>
          <w:tcPr>
            <w:tcW w:type="dxa" w:w="3024"/>
          </w:tcPr>
          <w:p>
            <w:pPr/>
            <w:r>
              <w:t>Errores de registro, ajustes contables retroactivos y eventos extraordinarios coexisten en la misma serie</w:t>
            </w:r>
          </w:p>
        </w:tc>
        <w:tc>
          <w:tcPr>
            <w:tcW w:type="dxa" w:w="3024"/>
          </w:tcPr>
          <w:p>
            <w:pPr/>
            <w:r>
              <w:t>Los modelos deben mostrar robustez sin perder sensibilidad a cambios reales</w:t>
            </w:r>
          </w:p>
        </w:tc>
      </w:tr>
      <w:tr>
        <w:tc>
          <w:tcPr>
            <w:tcW w:type="dxa" w:w="3024"/>
          </w:tcPr>
          <w:p>
            <w:pPr/>
            <w:r>
              <w:t>Series cortas</w:t>
            </w:r>
          </w:p>
        </w:tc>
        <w:tc>
          <w:tcPr>
            <w:tcW w:type="dxa" w:w="3024"/>
          </w:tcPr>
          <w:p>
            <w:pPr/>
            <w:r>
              <w:t>En ciclos mensuales, el historial raramente supera 4–5 años, dejando el total de observaciones por debajo de los umbrales críticos para ML</w:t>
            </w:r>
          </w:p>
        </w:tc>
        <w:tc>
          <w:tcPr>
            <w:tcW w:type="dxa" w:w="3024"/>
          </w:tcPr>
          <w:p>
            <w:pPr/>
            <w:r>
              <w:t>Los algoritmos complejos pueden no alcanzar su potencial (Cerqueira et al., 2022)</w:t>
            </w:r>
          </w:p>
        </w:tc>
      </w:tr>
    </w:tbl>
    <w:p>
      <w:pPr>
        <w:pStyle w:val="Piedefoto-tabla"/>
      </w:pPr>
      <w:r>
        <w:t>Fuente: elaboración propia a partir de Hyndman y Athanasopoulos (2021), Cerqueira et al. (2020) y Petropoulos et al. (2022).</w:t>
      </w:r>
    </w:p>
    <w:p>
      <w:pPr/>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pPr>
        <w:pStyle w:val="Heading2"/>
      </w:pPr>
      <w:r>
        <w:t>Estado del arte</w:t>
      </w:r>
    </w:p>
    <w:p>
      <w:pPr/>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4 ofrece una visión consolidada de estas familias.</w:t>
      </w:r>
    </w:p>
    <w:p>
      <w:pPr>
        <w:pStyle w:val="Caption"/>
      </w:pPr>
      <w:r>
        <w:t>Tabla 4. Familias de modelos de pronóstico: características, ventajas y limitaciones según la literatura.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Familia</w:t>
            </w:r>
          </w:p>
        </w:tc>
        <w:tc>
          <w:tcPr>
            <w:tcW w:type="dxa" w:w="2268"/>
          </w:tcPr>
          <w:p>
            <w:pPr>
              <w:spacing w:before="60" w:after="60"/>
            </w:pPr>
            <w:r>
              <w:rPr>
                <w:b/>
              </w:rPr>
              <w:t>Modelos representativos</w:t>
            </w:r>
          </w:p>
        </w:tc>
        <w:tc>
          <w:tcPr>
            <w:tcW w:type="dxa" w:w="2268"/>
          </w:tcPr>
          <w:p>
            <w:pPr>
              <w:spacing w:before="60" w:after="60"/>
            </w:pPr>
            <w:r>
              <w:rPr>
                <w:b/>
              </w:rPr>
              <w:t>Ventajas</w:t>
            </w:r>
          </w:p>
        </w:tc>
        <w:tc>
          <w:tcPr>
            <w:tcW w:type="dxa" w:w="2268"/>
          </w:tcPr>
          <w:p>
            <w:pPr>
              <w:spacing w:before="60" w:after="60"/>
            </w:pPr>
            <w:r>
              <w:rPr>
                <w:b/>
              </w:rPr>
              <w:t>Limitaciones</w:t>
            </w:r>
          </w:p>
        </w:tc>
      </w:tr>
      <w:tr>
        <w:tc>
          <w:tcPr>
            <w:tcW w:type="dxa" w:w="2268"/>
          </w:tcPr>
          <w:p>
            <w:pPr/>
            <w:r>
              <w:t>Estadístico clásico</w:t>
            </w:r>
          </w:p>
        </w:tc>
        <w:tc>
          <w:tcPr>
            <w:tcW w:type="dxa" w:w="2268"/>
          </w:tcPr>
          <w:p>
            <w:pPr/>
            <w:r>
              <w:t>ETS, Holt-Winters, SARIMA</w:t>
            </w:r>
          </w:p>
        </w:tc>
        <w:tc>
          <w:tcPr>
            <w:tcW w:type="dxa" w:w="2268"/>
          </w:tcPr>
          <w:p>
            <w:pPr/>
            <w:r>
              <w:t>Parsimonia paramétrica; robusto con series cortas; frecuentemente supera a modelos complejos en benchmarks con patrones regulares (Makridakis et al., 2022)</w:t>
            </w:r>
          </w:p>
        </w:tc>
        <w:tc>
          <w:tcPr>
            <w:tcW w:type="dxa" w:w="2268"/>
          </w:tcPr>
          <w:p>
            <w:pPr/>
            <w:r>
              <w:t>Asume linealidad; no captura cambios estructurales ni dependencias no lineales (Hyndman y Athanasopoulos, 2021)</w:t>
            </w:r>
          </w:p>
        </w:tc>
      </w:tr>
      <w:tr>
        <w:tc>
          <w:tcPr>
            <w:tcW w:type="dxa" w:w="2268"/>
          </w:tcPr>
          <w:p>
            <w:pPr/>
            <w:r>
              <w:t>Machine Learning</w:t>
            </w:r>
          </w:p>
        </w:tc>
        <w:tc>
          <w:tcPr>
            <w:tcW w:type="dxa" w:w="2268"/>
          </w:tcPr>
          <w:p>
            <w:pPr/>
            <w:r>
              <w:t>LightGBM, XGBoost</w:t>
            </w:r>
          </w:p>
        </w:tc>
        <w:tc>
          <w:tcPr>
            <w:tcW w:type="dxa" w:w="2268"/>
          </w:tcPr>
          <w:p>
            <w:pPr/>
            <w:r>
              <w:t>Captura relaciones no lineales; escalable a múltiples series con feature engineering adecuado (Januschowski et al., 2020)</w:t>
            </w:r>
          </w:p>
        </w:tc>
        <w:tc>
          <w:tcPr>
            <w:tcW w:type="dxa" w:w="2268"/>
          </w:tcPr>
          <w:p>
            <w:pPr/>
            <w:r>
              <w:t>Rendimiento inferior a métodos clásicos con menos de ≈500 observaciones; depende críticamente del feature engineering (Cerqueira et al., 2022)</w:t>
            </w:r>
          </w:p>
        </w:tc>
      </w:tr>
      <w:tr>
        <w:tc>
          <w:tcPr>
            <w:tcW w:type="dxa" w:w="2268"/>
          </w:tcPr>
          <w:p>
            <w:pPr/>
            <w:r>
              <w:t>Deep Learning tabular</w:t>
            </w:r>
          </w:p>
        </w:tc>
        <w:tc>
          <w:tcPr>
            <w:tcW w:type="dxa" w:w="2268"/>
          </w:tcPr>
          <w:p>
            <w:pPr/>
            <w:r>
              <w:t>MLP</w:t>
            </w:r>
          </w:p>
        </w:tc>
        <w:tc>
          <w:tcPr>
            <w:tcW w:type="dxa" w:w="2268"/>
          </w:tcPr>
          <w:p>
            <w:pPr/>
            <w:r>
              <w:t>Modelado de dinámicas complejas sin feature engineering manual; direct forecasting multi-horizonte</w:t>
            </w:r>
          </w:p>
        </w:tc>
        <w:tc>
          <w:tcPr>
            <w:tcW w:type="dxa" w:w="2268"/>
          </w:tcPr>
          <w:p>
            <w:pPr/>
            <w:r>
              <w:t>Costoso computacionalmente; requiere grandes volúmenes de datos (Lim y Zohren, 2021)</w:t>
            </w:r>
          </w:p>
        </w:tc>
      </w:tr>
      <w:tr>
        <w:tc>
          <w:tcPr>
            <w:tcW w:type="dxa" w:w="2268"/>
          </w:tcPr>
          <w:p>
            <w:pPr/>
            <w:r>
              <w:t>Deep Learning temporal</w:t>
            </w:r>
          </w:p>
        </w:tc>
        <w:tc>
          <w:tcPr>
            <w:tcW w:type="dxa" w:w="2268"/>
          </w:tcPr>
          <w:p>
            <w:pPr/>
            <w:r>
              <w:t>N-BEATS</w:t>
            </w:r>
          </w:p>
        </w:tc>
        <w:tc>
          <w:tcPr>
            <w:tcW w:type="dxa" w:w="2268"/>
          </w:tcPr>
          <w:p>
            <w:pPr/>
            <w:r>
              <w:t>Descomposición explícita tendencia/estacionalidad; interpretabilidad estructural; direct forecasting</w:t>
            </w:r>
          </w:p>
        </w:tc>
        <w:tc>
          <w:tcPr>
            <w:tcW w:type="dxa" w:w="2268"/>
          </w:tcPr>
          <w:p>
            <w:pPr/>
            <w:r>
              <w:t>Mayor complejidad de implementación; requiere volumen de datos suficiente (Oreshkin et al., 2020)</w:t>
            </w:r>
          </w:p>
        </w:tc>
      </w:tr>
      <w:tr>
        <w:tc>
          <w:tcPr>
            <w:tcW w:type="dxa" w:w="2268"/>
          </w:tcPr>
          <w:p>
            <w:pPr/>
            <w:r>
              <w:t>Modelo fundacional</w:t>
            </w:r>
          </w:p>
        </w:tc>
        <w:tc>
          <w:tcPr>
            <w:tcW w:type="dxa" w:w="2268"/>
          </w:tcPr>
          <w:p>
            <w:pPr/>
            <w:r>
              <w:t>Chronos, FinCast</w:t>
            </w:r>
          </w:p>
        </w:tc>
        <w:tc>
          <w:tcPr>
            <w:tcW w:type="dxa" w:w="2268"/>
          </w:tcPr>
          <w:p>
            <w:pPr/>
            <w:r>
              <w:t>Transfer learning desde corpus masivos; capacidad zero-shot (Ansari et al., 2024)</w:t>
            </w:r>
          </w:p>
        </w:tc>
        <w:tc>
          <w:tcPr>
            <w:tcW w:type="dxa" w:w="2268"/>
          </w:tcPr>
          <w:p>
            <w:pPr/>
            <w:r>
              <w:t>Los datos financieros corporativos requieren fine-tuning específico; sensibles a cambios de régimen (Rahimikia et al., 2025)</w:t>
            </w:r>
          </w:p>
        </w:tc>
      </w:tr>
    </w:tbl>
    <w:p>
      <w:pPr>
        <w:pStyle w:val="Piedefoto-tabla"/>
      </w:pPr>
      <w:r>
        <w:t>Fuente: elaboración propia a partir de Hyndman y Athanasopoulos (2021), Januschowski et al. (2020), Lim y Zohren (2021), Ansari et al. (2024) y Rahimikia et al. (2025).</w:t>
      </w:r>
    </w:p>
    <w:p>
      <w:pPr/>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pPr/>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w:t>
      </w:r>
    </w:p>
    <w:p>
      <w:pPr/>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La clave para lograrlo reside en un trabajo previo cuidadoso de </w:t>
      </w:r>
      <w:r>
        <w:rPr>
          <w:i/>
        </w:rPr>
        <w:t>feature engineering</w:t>
      </w:r>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pPr/>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3: la no-estacionariedad, la alta dimensionalidad y los cambios de régimen frecuentes no están bien representados en los corpus de preentrenamiento genéricos. Cabe subrayar que Chronos y FinCast no forman parte de la comparativa desarrollada en este trabajo; se mencionan exclusivamente como referencia de la frontera actual del campo.</w:t>
      </w:r>
    </w:p>
    <w:p>
      <w:pPr/>
      <w:r>
        <w:t>La dimensión metodológica de la evaluación merece un apartado propio, porque su correcta aplicación condiciona la validez de cualquier conclusión sobre qué modelo es preferible. La Tabla 5 presenta la taxonomía de métricas adoptadas en este trabajo.</w:t>
      </w:r>
    </w:p>
    <w:p>
      <w:pPr>
        <w:pStyle w:val="Caption"/>
      </w:pPr>
      <w:r>
        <w:t>Tabla 5. Métricas de evaluación de pronóstico: categoría, problema que abordan y limitaciones de uso.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Problema que aborda</w:t>
            </w:r>
          </w:p>
        </w:tc>
        <w:tc>
          <w:tcPr>
            <w:tcW w:type="dxa" w:w="2268"/>
          </w:tcPr>
          <w:p>
            <w:pPr>
              <w:spacing w:before="60" w:after="60"/>
            </w:pPr>
            <w:r>
              <w:rPr>
                <w:b/>
              </w:rPr>
              <w:t>Limitación o consideración</w:t>
            </w:r>
          </w:p>
        </w:tc>
      </w:tr>
      <w:tr>
        <w:tc>
          <w:tcPr>
            <w:tcW w:type="dxa" w:w="2268"/>
          </w:tcPr>
          <w:p>
            <w:pPr/>
            <w:r>
              <w:t>MAE / RMSE</w:t>
            </w:r>
          </w:p>
        </w:tc>
        <w:tc>
          <w:tcPr>
            <w:tcW w:type="dxa" w:w="2268"/>
          </w:tcPr>
          <w:p>
            <w:pPr/>
            <w:r>
              <w:t>Dependiente de escala</w:t>
            </w:r>
          </w:p>
        </w:tc>
        <w:tc>
          <w:tcPr>
            <w:tcW w:type="dxa" w:w="2268"/>
          </w:tcPr>
          <w:p>
            <w:pPr/>
            <w:r>
              <w:t>Intuitividad; unidades originales</w:t>
            </w:r>
          </w:p>
        </w:tc>
        <w:tc>
          <w:tcPr>
            <w:tcW w:type="dxa" w:w="2268"/>
          </w:tcPr>
          <w:p>
            <w:pPr/>
            <w:r>
              <w:t>Impide comparar series de distinta magnitud; RMSE penaliza errores grandes (Petropoulos et al., 2022)</w:t>
            </w:r>
          </w:p>
        </w:tc>
      </w:tr>
      <w:tr>
        <w:tc>
          <w:tcPr>
            <w:tcW w:type="dxa" w:w="2268"/>
          </w:tcPr>
          <w:p>
            <w:pPr/>
            <w:r>
              <w:t>MAPE</w:t>
            </w:r>
          </w:p>
        </w:tc>
        <w:tc>
          <w:tcPr>
            <w:tcW w:type="dxa" w:w="2268"/>
          </w:tcPr>
          <w:p>
            <w:pPr/>
            <w:r>
              <w:t>Porcentual</w:t>
            </w:r>
          </w:p>
        </w:tc>
        <w:tc>
          <w:tcPr>
            <w:tcW w:type="dxa" w:w="2268"/>
          </w:tcPr>
          <w:p>
            <w:pPr/>
            <w:r>
              <w:t>Comprensión intuitiva</w:t>
            </w:r>
          </w:p>
        </w:tc>
        <w:tc>
          <w:tcPr>
            <w:tcW w:type="dxa" w:w="2268"/>
          </w:tcPr>
          <w:p>
            <w:pPr/>
            <w:r>
              <w:t>Asimétrico; indefinido ante valores reales cercanos a cero (Petropoulos et al., 2022)</w:t>
            </w:r>
          </w:p>
        </w:tc>
      </w:tr>
      <w:tr>
        <w:tc>
          <w:tcPr>
            <w:tcW w:type="dxa" w:w="2268"/>
          </w:tcPr>
          <w:p>
            <w:pPr/>
            <w:r>
              <w:t>sMAPE</w:t>
            </w:r>
          </w:p>
        </w:tc>
        <w:tc>
          <w:tcPr>
            <w:tcW w:type="dxa" w:w="2268"/>
          </w:tcPr>
          <w:p>
            <w:pPr/>
            <w:r>
              <w:t>Porcentual simétrica</w:t>
            </w:r>
          </w:p>
        </w:tc>
        <w:tc>
          <w:tcPr>
            <w:tcW w:type="dxa" w:w="2268"/>
          </w:tcPr>
          <w:p>
            <w:pPr/>
            <w:r>
              <w:t>Corrige la asimetría del MAPE; acotada en [0, 200]</w:t>
            </w:r>
          </w:p>
        </w:tc>
        <w:tc>
          <w:tcPr>
            <w:tcW w:type="dxa" w:w="2268"/>
          </w:tcPr>
          <w:p>
            <w:pPr/>
            <w:r>
              <w:t>Sigue siendo problemática ante valores cercanos a cero (Hyndman y Athanasopoulos, 2021)</w:t>
            </w:r>
          </w:p>
        </w:tc>
      </w:tr>
      <w:tr>
        <w:tc>
          <w:tcPr>
            <w:tcW w:type="dxa" w:w="2268"/>
          </w:tcPr>
          <w:p>
            <w:pPr/>
            <w:r>
              <w:t>MASE</w:t>
            </w:r>
          </w:p>
        </w:tc>
        <w:tc>
          <w:tcPr>
            <w:tcW w:type="dxa" w:w="2268"/>
          </w:tcPr>
          <w:p>
            <w:pPr/>
            <w:r>
              <w:t>Error escalado</w:t>
            </w:r>
          </w:p>
        </w:tc>
        <w:tc>
          <w:tcPr>
            <w:tcW w:type="dxa" w:w="2268"/>
          </w:tcPr>
          <w:p>
            <w:pPr/>
            <w:r>
              <w:t>Comparación robusta entre series; referencia contra naïve estacional</w:t>
            </w:r>
          </w:p>
        </w:tc>
        <w:tc>
          <w:tcPr>
            <w:tcW w:type="dxa" w:w="2268"/>
          </w:tcPr>
          <w:p>
            <w:pPr/>
            <w:r>
              <w:t>Requiere definir correctamente el modelo de referencia (Hyndman y Athanasopoulos, 2021)</w:t>
            </w:r>
          </w:p>
        </w:tc>
      </w:tr>
      <w:tr>
        <w:tc>
          <w:tcPr>
            <w:tcW w:type="dxa" w:w="2268"/>
          </w:tcPr>
          <w:p>
            <w:pPr/>
            <w:r>
              <w:t>WAPE</w:t>
            </w:r>
          </w:p>
        </w:tc>
        <w:tc>
          <w:tcPr>
            <w:tcW w:type="dxa" w:w="2268"/>
          </w:tcPr>
          <w:p>
            <w:pPr/>
            <w:r>
              <w:t>Impacto económico</w:t>
            </w:r>
          </w:p>
        </w:tc>
        <w:tc>
          <w:tcPr>
            <w:tcW w:type="dxa" w:w="2268"/>
          </w:tcPr>
          <w:p>
            <w:pPr/>
            <w:r>
              <w:t>Pondera errores según volumen financiero</w:t>
            </w:r>
          </w:p>
        </w:tc>
        <w:tc>
          <w:tcPr>
            <w:tcW w:type="dxa" w:w="2268"/>
          </w:tcPr>
          <w:p>
            <w:pPr/>
            <w:r>
              <w:t>Puede enmascarar errores en cuentas pequeñas si el volumen está dominado por pocas líneas (Makridakis et al., 2022)</w:t>
            </w:r>
          </w:p>
        </w:tc>
      </w:tr>
      <w:tr>
        <w:tc>
          <w:tcPr>
            <w:tcW w:type="dxa" w:w="2268"/>
          </w:tcPr>
          <w:p>
            <w:pPr/>
            <w:r>
              <w:t>Contribución al error</w:t>
            </w:r>
          </w:p>
        </w:tc>
        <w:tc>
          <w:tcPr>
            <w:tcW w:type="dxa" w:w="2268"/>
          </w:tcPr>
          <w:p>
            <w:pPr/>
            <w:r>
              <w:t>Impacto económico desagregado</w:t>
            </w:r>
          </w:p>
        </w:tc>
        <w:tc>
          <w:tcPr>
            <w:tcW w:type="dxa" w:w="2268"/>
          </w:tcPr>
          <w:p>
            <w:pPr/>
            <w:r>
              <w:t>Desglosa el error por grupo de volumen; identifica dónde el impacto financiero es mayor</w:t>
            </w:r>
          </w:p>
        </w:tc>
        <w:tc>
          <w:tcPr>
            <w:tcW w:type="dxa" w:w="2268"/>
          </w:tcPr>
          <w:p>
            <w:pPr/>
            <w:r>
              <w:t>Requiere agrupación estable de series (Makridakis et al., 2022)</w:t>
            </w:r>
          </w:p>
        </w:tc>
      </w:tr>
    </w:tbl>
    <w:p>
      <w:pPr>
        <w:pStyle w:val="Piedefoto-tabla"/>
      </w:pPr>
      <w:r>
        <w:t>Fuente: elaboración propia a partir de Petropoulos et al. (2022), Hyndman y Athanasopoulos (2021) y Makridakis et al. (2022).</w:t>
      </w:r>
    </w:p>
    <w:p>
      <w:pPr/>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r>
        <w:t>La dimensión metodológica de la evaluación merece un apartado propio porque su correcta aplicación condiciona la validez de cualquier conclusión.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6 resume los problemas de los principales esquemas de validación.</w:t>
      </w:r>
    </w:p>
    <w:p>
      <w:pPr>
        <w:pStyle w:val="Caption"/>
      </w:pPr>
      <w:r>
        <w:t>Tabla 6. Métodos de validación temporal: limitaciones y solución que aporta el protocolo walk-forward.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Método</w:t>
            </w:r>
          </w:p>
        </w:tc>
        <w:tc>
          <w:tcPr>
            <w:tcW w:type="dxa" w:w="3024"/>
          </w:tcPr>
          <w:p>
            <w:pPr>
              <w:spacing w:before="60" w:after="60"/>
            </w:pPr>
            <w:r>
              <w:rPr>
                <w:b/>
              </w:rPr>
              <w:t>Problema que presenta</w:t>
            </w:r>
          </w:p>
        </w:tc>
        <w:tc>
          <w:tcPr>
            <w:tcW w:type="dxa" w:w="3024"/>
          </w:tcPr>
          <w:p>
            <w:pPr>
              <w:spacing w:before="60" w:after="60"/>
            </w:pPr>
            <w:r>
              <w:rPr>
                <w:b/>
              </w:rPr>
              <w:t>Por qué walk-forward lo resuelve</w:t>
            </w:r>
          </w:p>
        </w:tc>
      </w:tr>
      <w:tr>
        <w:tc>
          <w:tcPr>
            <w:tcW w:type="dxa" w:w="3024"/>
          </w:tcPr>
          <w:p>
            <w:pPr/>
            <w:r>
              <w:t>K-Fold estándar</w:t>
            </w:r>
          </w:p>
        </w:tc>
        <w:tc>
          <w:tcPr>
            <w:tcW w:type="dxa" w:w="3024"/>
          </w:tcPr>
          <w:p>
            <w:pPr/>
            <w:r>
              <w:t>Contaminación temporal: el modelo entrena con datos del futuro para predecir el pasado</w:t>
            </w:r>
          </w:p>
        </w:tc>
        <w:tc>
          <w:tcPr>
            <w:tcW w:type="dxa" w:w="3024"/>
          </w:tcPr>
          <w:p>
            <w:pPr/>
            <w:r>
              <w:t>Walk-forward garantiza que cada pronóstico usa únicamente la información disponible en ese momento (Bergmeir y Hyndman, 2012)</w:t>
            </w:r>
          </w:p>
        </w:tc>
      </w:tr>
      <w:tr>
        <w:tc>
          <w:tcPr>
            <w:tcW w:type="dxa" w:w="3024"/>
          </w:tcPr>
          <w:p>
            <w:pPr/>
            <w:r>
              <w:t>Hold-out simple</w:t>
            </w:r>
          </w:p>
        </w:tc>
        <w:tc>
          <w:tcPr>
            <w:tcW w:type="dxa" w:w="3024"/>
          </w:tcPr>
          <w:p>
            <w:pPr/>
            <w:r>
              <w:t>Evalúa el modelo en un único período sin considerar la variabilidad del desempeño en el tiempo</w:t>
            </w:r>
          </w:p>
        </w:tc>
        <w:tc>
          <w:tcPr>
            <w:tcW w:type="dxa" w:w="3024"/>
          </w:tcPr>
          <w:p>
            <w:pPr/>
            <w:r>
              <w:t>Las ventanas móviles generan múltiples iteraciones de evaluación; permiten analizar la estabilidad temporal (Bergmeir y Hyndman, 2012)</w:t>
            </w:r>
          </w:p>
        </w:tc>
      </w:tr>
      <w:tr>
        <w:tc>
          <w:tcPr>
            <w:tcW w:type="dxa" w:w="3024"/>
          </w:tcPr>
          <w:p>
            <w:pPr/>
            <w:r>
              <w:t>Validación cruzada sin control temporal</w:t>
            </w:r>
          </w:p>
        </w:tc>
        <w:tc>
          <w:tcPr>
            <w:tcW w:type="dxa" w:w="3024"/>
          </w:tcPr>
          <w:p>
            <w:pPr/>
            <w:r>
              <w:t>Estimaciones 20–30 % más optimistas que los resultados reales (Bergmeir y Hyndman, 2012)</w:t>
            </w:r>
          </w:p>
        </w:tc>
        <w:tc>
          <w:tcPr>
            <w:tcW w:type="dxa" w:w="3024"/>
          </w:tcPr>
          <w:p>
            <w:pPr/>
            <w:r>
              <w:t>Walk-forward elimina este sesgo; las estimaciones de error son representativas del desempeño esperado en producción</w:t>
            </w:r>
          </w:p>
        </w:tc>
      </w:tr>
      <w:tr>
        <w:tc>
          <w:tcPr>
            <w:tcW w:type="dxa" w:w="3024"/>
          </w:tcPr>
          <w:p>
            <w:pPr/>
            <w:r>
              <w:t>Expanding window</w:t>
            </w:r>
          </w:p>
        </w:tc>
        <w:tc>
          <w:tcPr>
            <w:tcW w:type="dxa" w:w="3024"/>
          </w:tcPr>
          <w:p>
            <w:pPr/>
            <w:r>
              <w:t>Acumula todo el historial; puede otorgar excesivo peso a patrones históricos lejanos</w:t>
            </w:r>
          </w:p>
        </w:tc>
        <w:tc>
          <w:tcPr>
            <w:tcW w:type="dxa" w:w="3024"/>
          </w:tcPr>
          <w:p>
            <w:pPr/>
            <w:r>
              <w:t>Configuración predeterminada en este trabajo dado que las series no presentan cambios de régimen conocidos (Hyndman y Athanasopoulos, 2021)</w:t>
            </w:r>
          </w:p>
        </w:tc>
      </w:tr>
    </w:tbl>
    <w:p>
      <w:pPr>
        <w:pStyle w:val="Piedefoto-tabla"/>
      </w:pPr>
      <w:r>
        <w:t>Fuente: elaboración propia a partir de Bergmeir y Hyndman (2012) y Hyndman y Athanasopoulos (2021).</w:t>
      </w:r>
    </w:p>
    <w:p>
      <w:pPr>
        <w:pStyle w:val="Heading2"/>
      </w:pPr>
      <w:r>
        <w:t>Conclusiones del capítulo</w:t>
      </w:r>
    </w:p>
    <w:p>
      <w:pPr/>
      <w:r>
        <w:t>El recorrido por el contexto operativo y la literatura académica permite extraer tres conclusiones que orientan directamente el diseño del presente trabajo.</w:t>
      </w:r>
    </w:p>
    <w:p>
      <w:pPr/>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pPr/>
      <w:r>
        <w:t>La tercera conclusión es que las métricas deben orientarse al valor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pPr/>
      <w:r>
        <w:t>De esta revisión se desprenden tres brechas que motivan la investigación y articulan los objetivos específicos del trabajo, sintetizadas en la Tabla 7.</w:t>
      </w:r>
    </w:p>
    <w:p>
      <w:pPr>
        <w:pStyle w:val="Caption"/>
      </w:pPr>
      <w:r>
        <w:t>Tabla 7. Brechas identificadas en la literatura y respuesta metodológica del trabajo.</w:t>
      </w:r>
    </w:p>
    <w:tbl>
      <w:tblPr>
        <w:tblStyle w:val="TableGrid"/>
        <w:tblW w:type="auto" w:w="0"/>
        <w:tblLayout w:type="autofit"/>
        <w:tblLook w:firstColumn="1" w:firstRow="1" w:lastColumn="0" w:lastRow="0" w:noHBand="0" w:noVBand="1" w:val="04A0"/>
      </w:tblPr>
      <w:tblGrid>
        <w:gridCol w:w="2520"/>
        <w:gridCol w:w="2520"/>
        <w:gridCol w:w="4032"/>
      </w:tblGrid>
      <w:tr>
        <w:tc>
          <w:tcPr>
            <w:tcW w:type="dxa" w:w="2520"/>
          </w:tcPr>
          <w:p>
            <w:pPr>
              <w:spacing w:before="60" w:after="60"/>
            </w:pPr>
            <w:r>
              <w:rPr>
                <w:b/>
              </w:rPr>
              <w:t xml:space="preserve">Brecha identificada</w:t>
            </w:r>
          </w:p>
        </w:tc>
        <w:tc>
          <w:tcPr>
            <w:tcW w:type="dxa" w:w="2520"/>
          </w:tcPr>
          <w:p>
            <w:pPr>
              <w:spacing w:before="60" w:after="60"/>
            </w:pPr>
            <w:r>
              <w:rPr>
                <w:b/>
              </w:rPr>
              <w:t xml:space="preserve">Evidencia bibliográfica</w:t>
            </w:r>
          </w:p>
        </w:tc>
        <w:tc>
          <w:tcPr>
            <w:tcW w:type="dxa" w:w="4032"/>
          </w:tcPr>
          <w:p>
            <w:pPr>
              <w:spacing w:before="60" w:after="60"/>
            </w:pPr>
            <w:r>
              <w:rPr>
                <w:b/>
              </w:rPr>
              <w:t xml:space="preserve">Respuesta del TFE</w:t>
            </w:r>
          </w:p>
        </w:tc>
      </w:tr>
      <w:tr>
        <w:tc>
          <w:tcPr>
            <w:tcW w:type="dxa" w:w="2520"/>
          </w:tcPr>
          <w:p>
            <w:pPr>
              <w:spacing w:before="60" w:after="60"/>
            </w:pPr>
            <w:r>
              <w:rPr/>
              <w:t xml:space="preserve">Escasez de estudios con series financieras corporativas</w:t>
            </w:r>
          </w:p>
        </w:tc>
        <w:tc>
          <w:tcPr>
            <w:tcW w:type="dxa" w:w="2520"/>
          </w:tcPr>
          <w:p>
            <w:pPr>
              <w:spacing w:before="60" w:after="60"/>
            </w:pPr>
            <w:r>
              <w:rPr/>
              <w:t xml:space="preserve">Benchmarks disponibles construidos principalmente sobre datos de retail, energía o tráfico (Makridakis et al., 2022)</w:t>
            </w:r>
          </w:p>
        </w:tc>
        <w:tc>
          <w:tcPr>
            <w:tcW w:type="dxa" w:w="4032"/>
          </w:tcPr>
          <w:p>
            <w:pPr>
              <w:spacing w:before="60" w:after="60"/>
            </w:pPr>
            <w:r>
              <w:rPr/>
              <w:t xml:space="preserve">Experimento sobre submuestra de M4 Financial Monthly (N = 200 series)</w:t>
            </w:r>
          </w:p>
        </w:tc>
      </w:tr>
      <w:tr>
        <w:tc>
          <w:tcPr>
            <w:tcW w:type="dxa" w:w="2520"/>
          </w:tcPr>
          <w:p>
            <w:pPr>
              <w:spacing w:before="60" w:after="60"/>
            </w:pPr>
            <w:r>
              <w:rPr/>
              <w:t xml:space="preserve">Ausencia de marcos de evaluación orientados al valor en FP&amp;A</w:t>
            </w:r>
          </w:p>
        </w:tc>
        <w:tc>
          <w:tcPr>
            <w:tcW w:type="dxa" w:w="2520"/>
          </w:tcPr>
          <w:p>
            <w:pPr>
              <w:spacing w:before="60" w:after="60"/>
            </w:pPr>
            <w:r>
              <w:rPr/>
              <w:t xml:space="preserve">Minimizar el error estadístico no garantiza maximizar el valor para el negocio (Armstrong, 2001; Makridakis et al., 2025)</w:t>
            </w:r>
          </w:p>
        </w:tc>
        <w:tc>
          <w:tcPr>
            <w:tcW w:type="dxa" w:w="4032"/>
          </w:tcPr>
          <w:p>
            <w:pPr>
              <w:spacing w:before="60" w:after="60"/>
            </w:pPr>
            <w:r>
              <w:rPr/>
              <w:t xml:space="preserve">Incorporación de WAPE y análisis de contribución al error absoluto por decil de volumen</w:t>
            </w:r>
          </w:p>
        </w:tc>
      </w:tr>
      <w:tr>
        <w:tc>
          <w:tcPr>
            <w:tcW w:type="dxa" w:w="2520"/>
          </w:tcPr>
          <w:p>
            <w:pPr>
              <w:spacing w:before="60" w:after="60"/>
            </w:pPr>
            <w:r>
              <w:rPr/>
              <w:t xml:space="preserve">Falta de criterios objetivos para la selección de modelos en FP&amp;A</w:t>
            </w:r>
          </w:p>
        </w:tc>
        <w:tc>
          <w:tcPr>
            <w:tcW w:type="dxa" w:w="2520"/>
          </w:tcPr>
          <w:p>
            <w:pPr>
              <w:spacing w:before="60" w:after="60"/>
            </w:pPr>
            <w:r>
              <w:rPr/>
              <w:t xml:space="preserve">Quienes deciden en FP&amp;A carecen de guías cuantitativas para determinar cuándo la mayor sofisticación se justifica</w:t>
            </w:r>
          </w:p>
        </w:tc>
        <w:tc>
          <w:tcPr>
            <w:tcW w:type="dxa" w:w="4032"/>
          </w:tcPr>
          <w:p>
            <w:pPr>
              <w:spacing w:before="60" w:after="60"/>
            </w:pPr>
            <w:r>
              <w:rPr/>
              <w:t xml:space="preserve">Framework cuantitativo de tres reglas operativas derivado de los resultados del experimento</w:t>
            </w:r>
          </w:p>
        </w:tc>
      </w:tr>
    </w:tbl>
    <w:p>
      <w:pPr/>
      <w:r>
        <w:t xml:space="preserve">Fuente: elaboración propia a partir de Armstrong (2001), Makridakis et al. (2022, 2025) y Cerqueira et al. (2022).</w:t>
      </w:r>
    </w:p>
    <w:p>
      <w:pPr/>
      <w:r>
        <w:t xml:space="preserve">Son precisamente estas tres brechas las que articulan los objetivos específicos del trabajo y justifican el diseño metodológico descrito en el capítulo siguiente.</w:t>
      </w:r>
    </w:p>
    <w:p>
      <w:r>
        <w:br w:type="page"/>
      </w:r>
    </w:p>
    <w:p>
      <w:pPr>
        <w:pStyle w:val="Heading1"/>
      </w:pPr>
      <w:r>
        <w:t>Objetivos concretos y metodología de trabajo</w:t>
      </w:r>
    </w:p>
    <w:p>
      <w:pPr/>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pPr>
        <w:pStyle w:val="Heading2"/>
      </w:pPr>
      <w:r>
        <w:t>Objetivo general</w:t>
      </w:r>
    </w:p>
    <w:p>
      <w:pPr>
        <w:jc w:val="both"/>
      </w:pPr>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pPr/>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pPr>
        <w:pStyle w:val="Heading2"/>
      </w:pPr>
      <w:r>
        <w:t>Objetivos específicos</w:t>
      </w:r>
    </w:p>
    <w:p>
      <w:pPr/>
      <w:r>
        <w:t>Los siguientes objetivos específicos desglosan el objetivo general en tareas delimitadas y verificables, organizadas según la secuencia de ejecución del trabajo:</w:t>
      </w:r>
    </w:p>
    <w:p>
      <w:pPr>
        <w:pStyle w:val="ListParagraph"/>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pStyle w:val="ListParagraph"/>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pPr>
        <w:pStyle w:val="ListParagraph"/>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pPr>
        <w:pStyle w:val="ListParagraph"/>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pStyle w:val="ListParagraph"/>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pPr>
        <w:pStyle w:val="Heading2"/>
      </w:pPr>
      <w:r>
        <w:t>Metodología del trabajo</w:t>
      </w:r>
    </w:p>
    <w:p>
      <w:pPr/>
      <w:r>
        <w:t xml:space="preserve">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pPr>
        <w:spacing w:before="200" w:after="80"/>
      </w:pPr>
      <w:r>
        <w:rPr>
          <w:b/>
        </w:rPr>
        <w:t>Fase 1. Revisión sistemática de la literatura</w:t>
      </w:r>
    </w:p>
    <w:p>
      <w:pPr/>
      <w:r>
        <w:t>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2, que sirve como base para la selección definitiva de las arquitecturas a evaluar (Petropoulos et al., 2022).</w:t>
      </w:r>
    </w:p>
    <w:p>
      <w:pPr>
        <w:spacing w:before="200" w:after="80"/>
      </w:pPr>
      <w:r>
        <w:rPr>
          <w:b/>
        </w:rPr>
        <w:t>Fase 2. Adquisición y preparación de datos</w:t>
      </w:r>
    </w:p>
    <w:p>
      <w:pPr/>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pPr>
        <w:spacing w:before="200" w:after="80"/>
      </w:pPr>
      <w:r>
        <w:rPr>
          <w:b/>
        </w:rPr>
        <w:t>Fase 3. Diseño del protocolo de backtesting</w:t>
      </w:r>
    </w:p>
    <w:p>
      <w:pPr/>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r>
        <w:rPr>
          <w:i/>
        </w:rPr>
        <w:t>fold</w:t>
      </w:r>
      <w:r>
        <w:t xml:space="preserve"> (Bergmeir y Hyndman, 2012).</w:t>
      </w:r>
    </w:p>
    <w:p>
      <w:pPr>
        <w:spacing w:before="200" w:after="80"/>
      </w:pPr>
      <w:r>
        <w:rPr>
          <w:b/>
        </w:rPr>
        <w:t>Fase 4. Implementación y ajuste de modelos</w:t>
      </w:r>
    </w:p>
    <w:p>
      <w:pPr/>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(Hyndman y Athanasopoulos, 2021). Holt-Winters se implementa vía </w:t>
      </w:r>
      <w:r>
        <w:rPr>
          <w:rFonts w:ascii="Courier New" w:hAnsi="Courier New"/>
          <w:sz w:val="20"/>
        </w:rPr>
        <w:t>statsmodels</w:t>
      </w:r>
      <w:r>
        <w:t xml:space="preserve">,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xml:space="preserve">), cubriendo un rango temporal suficiente para evaluar la estabilidad del desempeño y preservar la validez comparativa entre modelos.</w:t>
      </w:r>
    </w:p>
    <w:p>
      <w:pPr>
        <w:spacing w:before="200" w:after="80"/>
      </w:pPr>
      <w:r>
        <w:rPr>
          <w:b/>
        </w:rPr>
        <w:t>Fase 5. Análisis de resultados y construcción del framework</w:t>
      </w:r>
    </w:p>
    <w:p>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pPr>
        <w:spacing w:before="200" w:after="80"/>
      </w:pPr>
      <w:r>
        <w:rPr>
          <w:b/>
        </w:rPr>
        <w:t>Fase 6. Redacción, revisión y entrega</w:t>
      </w:r>
    </w:p>
    <w:p>
      <w:pPr/>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r>
        <w:br w:type="page"/>
      </w:r>
    </w:p>
    <w:p>
      <w:pPr>
        <w:pStyle w:val="Heading1"/>
      </w:pPr>
      <w:r>
        <w:t>Planteamiento de la comparativa</w:t>
      </w:r>
    </w:p>
    <w:p>
      <w:pPr/>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pPr>
        <w:pStyle w:val="Heading2"/>
      </w:pPr>
      <w:r>
        <w:t>Identificación del problema y trabajo previo</w:t>
      </w:r>
    </w:p>
    <w:p>
      <w:pPr/>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r>
        <w:t>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p>
      <w:pPr>
        <w:pStyle w:val="Heading2"/>
      </w:pPr>
      <w:r>
        <w:t>Descripción del conjunto de datos</w:t>
      </w:r>
    </w:p>
    <w:p>
      <w:pPr/>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7 recoge las características principales del conjunto de datos.</w:t>
      </w:r>
    </w:p>
    <w:p>
      <w:pPr>
        <w:pStyle w:val="Caption"/>
      </w:pPr>
      <w:r>
        <w:t>Tabla 7. Características del conjunto de datos M4 Financial Monthly utilizado en la comparativa.</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Dimensión</w:t>
            </w:r>
          </w:p>
        </w:tc>
        <w:tc>
          <w:tcPr>
            <w:tcW w:type="dxa" w:w="4535"/>
          </w:tcPr>
          <w:p>
            <w:pPr>
              <w:spacing w:before="60" w:after="60"/>
            </w:pPr>
            <w:r>
              <w:rPr>
                <w:b/>
              </w:rPr>
              <w:t>Descripción</w:t>
            </w:r>
          </w:p>
        </w:tc>
      </w:tr>
      <w:tr>
        <w:tc>
          <w:tcPr>
            <w:tcW w:type="dxa" w:w="4535"/>
          </w:tcPr>
          <w:p>
            <w:pPr/>
            <w:r>
              <w:t>Fuente</w:t>
            </w:r>
          </w:p>
        </w:tc>
        <w:tc>
          <w:tcPr>
            <w:tcW w:type="dxa" w:w="4535"/>
          </w:tcPr>
          <w:p>
            <w:pPr/>
            <w:r>
              <w:t>M4 Competition Dataset, categoría Financial Monthly (Makridakis et al., 2020). Conjunto de acceso público diseñado específicamente para el benchmarking de modelos de pronóstico.</w:t>
            </w:r>
          </w:p>
        </w:tc>
      </w:tr>
      <w:tr>
        <w:tc>
          <w:tcPr>
            <w:tcW w:type="dxa" w:w="4535"/>
          </w:tcPr>
          <w:p>
            <w:pPr/>
            <w:r>
              <w:t>Series originales disponibles</w:t>
            </w:r>
          </w:p>
        </w:tc>
        <w:tc>
          <w:tcPr>
            <w:tcW w:type="dxa" w:w="4535"/>
          </w:tcPr>
          <w:p>
            <w:pPr/>
            <w:r>
              <w:t>10.987 series temporales financieras mensuales.</w:t>
            </w:r>
          </w:p>
        </w:tc>
      </w:tr>
      <w:tr>
        <w:tc>
          <w:tcPr>
            <w:tcW w:type="dxa" w:w="4535"/>
          </w:tcPr>
          <w:p>
            <w:pPr/>
            <w:r>
              <w:t>Criterio de filtrado aplicado</w:t>
            </w:r>
          </w:p>
        </w:tc>
        <w:tc>
          <w:tcPr>
            <w:tcW w:type="dxa" w:w="4535"/>
          </w:tcPr>
          <w:p>
            <w:pPr/>
            <w:r>
              <w:t>Se retienen únicamente las series con longitud real ≥ 72 meses (6 años), umbral mínimo para garantizar suficiente historial de entrenamiento.</w:t>
            </w:r>
          </w:p>
        </w:tc>
      </w:tr>
      <w:tr>
        <w:tc>
          <w:tcPr>
            <w:tcW w:type="dxa" w:w="4535"/>
          </w:tcPr>
          <w:p>
            <w:pPr/>
            <w:r>
              <w:t>Series retenidas tras filtrado</w:t>
            </w:r>
          </w:p>
        </w:tc>
        <w:tc>
          <w:tcPr>
            <w:tcW w:type="dxa" w:w="4535"/>
          </w:tcPr>
          <w:p>
            <w:pPr/>
            <w:r>
              <w:t>8.493 series (77,3 % del total original).</w:t>
            </w:r>
          </w:p>
        </w:tc>
      </w:tr>
      <w:tr>
        <w:tc>
          <w:tcPr>
            <w:tcW w:type="dxa" w:w="4535"/>
          </w:tcPr>
          <w:p>
            <w:pPr/>
            <w:r>
              <w:t>Frecuencia temporal</w:t>
            </w:r>
          </w:p>
        </w:tc>
        <w:tc>
          <w:tcPr>
            <w:tcW w:type="dxa" w:w="4535"/>
          </w:tcPr>
          <w:p>
            <w:pPr/>
            <w:r>
              <w:t>Mensual. Cada observación corresponde a un período de un mes.</w:t>
            </w:r>
          </w:p>
        </w:tc>
      </w:tr>
      <w:tr>
        <w:tc>
          <w:tcPr>
            <w:tcW w:type="dxa" w:w="4535"/>
          </w:tcPr>
          <w:p>
            <w:pPr/>
            <w:r>
              <w:t>Longitud de las series (tras filtrado)</w:t>
            </w:r>
          </w:p>
        </w:tc>
        <w:tc>
          <w:tcPr>
            <w:tcW w:type="dxa" w:w="4535"/>
          </w:tcPr>
          <w:p>
            <w:pPr/>
            <w:r>
              <w:t>Media: 184 meses Mediana: 175 meses P25: 74 meses P75: 237 meses Máximo: 1.502 meses.</w:t>
            </w:r>
          </w:p>
        </w:tc>
      </w:tr>
      <w:tr>
        <w:tc>
          <w:tcPr>
            <w:tcW w:type="dxa" w:w="4535"/>
          </w:tcPr>
          <w:p>
            <w:pPr/>
            <w:r>
              <w:t>Horizonte de pronóstico</w:t>
            </w:r>
          </w:p>
        </w:tc>
        <w:tc>
          <w:tcPr>
            <w:tcW w:type="dxa" w:w="4535"/>
          </w:tcPr>
          <w:p>
            <w:pPr/>
            <w:r>
              <w:t>18 meses. Corresponde al horizonte estándar M4 mensual y representa aproximadamente un ciclo y medio de planificación financiera anual.</w:t>
            </w:r>
          </w:p>
        </w:tc>
      </w:tr>
      <w:tr>
        <w:tc>
          <w:tcPr>
            <w:tcW w:type="dxa" w:w="4535"/>
          </w:tcPr>
          <w:p>
            <w:pPr/>
            <w:r>
              <w:t>Naturaleza de las series</w:t>
            </w:r>
          </w:p>
        </w:tc>
        <w:tc>
          <w:tcPr>
            <w:tcW w:type="dxa" w:w="4535"/>
          </w:tcPr>
          <w:p>
            <w:pPr/>
            <w:r>
              <w:t>Series de variables económicas y financieras diversas (ingresos, indicadores macroeconómicos, métricas corporativas). Las series no están etiquetadas por tipo de cuenta contable.</w:t>
            </w:r>
          </w:p>
        </w:tc>
      </w:tr>
      <w:tr>
        <w:tc>
          <w:tcPr>
            <w:tcW w:type="dxa" w:w="4535"/>
          </w:tcPr>
          <w:p>
            <w:pPr/>
            <w:r>
              <w:t>.</w:t>
            </w:r>
          </w:p>
        </w:tc>
        <w:tc>
          <w:tcPr>
            <w:tcW w:type="dxa" w:w="4535"/>
          </w:tcPr>
          <w:p/>
        </w:tc>
      </w:tr>
    </w:tbl>
    <w:p>
      <w:pPr>
        <w:pStyle w:val="Piedefoto-tabla"/>
      </w:pPr>
      <w:r>
        <w:t>Fuente: elaboración propia a partir del M4 Competition Dataset (Makridakis et al., 2020).</w:t>
      </w:r>
    </w:p>
    <w:p>
      <w:pPr/>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r>
        <w:rPr>
          <w:i/>
        </w:rPr>
        <w:t>folds</w:t>
      </w:r>
      <w:r>
        <w:t xml:space="preserve"> por serie en CPU (véase Capítulo 3), la submuestra final se fijó en N = 200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del </w:t>
      </w:r>
      <w:r>
        <w:rPr>
          <w:i/>
        </w:rPr>
        <w:t>dataset</w:t>
      </w:r>
      <w:r>
        <w:t xml:space="preserve"> completo, dado que la estratificación preserva las proporciones de cada cuartil de longitud.</w:t>
      </w:r>
    </w:p>
    <w:p>
      <w:pPr>
        <w:pStyle w:val="Heading2"/>
      </w:pPr>
      <w:r>
        <w:t>Modelos incluidos en la comparativa</w:t>
      </w:r>
    </w:p>
    <w:p>
      <w:pPr/>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8 describe los siete modelos incluidos.</w:t>
      </w:r>
    </w:p>
    <w:p>
      <w:pPr>
        <w:pStyle w:val="Caption"/>
      </w:pPr>
      <w:r>
        <w:t>Tabla 8. Modelos incluidos en la comparativa: nivel de complejidad, implementación y justificación.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60" w:after="60"/>
            </w:pPr>
            <w:r>
              <w:rPr>
                <w:b/>
              </w:rPr>
              <w:t>Nivel</w:t>
            </w:r>
          </w:p>
        </w:tc>
        <w:tc>
          <w:tcPr>
            <w:tcW w:type="dxa" w:w="1512"/>
          </w:tcPr>
          <w:p>
            <w:pPr>
              <w:spacing w:before="60" w:after="60"/>
            </w:pPr>
            <w:r>
              <w:rPr>
                <w:b/>
              </w:rPr>
              <w:t>Modelo</w:t>
            </w:r>
          </w:p>
        </w:tc>
        <w:tc>
          <w:tcPr>
            <w:tcW w:type="dxa" w:w="1512"/>
          </w:tcPr>
          <w:p>
            <w:pPr>
              <w:spacing w:before="60" w:after="60"/>
            </w:pPr>
            <w:r>
              <w:rPr>
                <w:b/>
              </w:rPr>
              <w:t>Librería</w:t>
            </w:r>
          </w:p>
        </w:tc>
        <w:tc>
          <w:tcPr>
            <w:tcW w:type="dxa" w:w="1512"/>
          </w:tcPr>
          <w:p>
            <w:pPr>
              <w:spacing w:before="60" w:after="60"/>
            </w:pPr>
            <w:r>
              <w:rPr>
                <w:b/>
              </w:rPr>
              <w:t>Estrategia</w:t>
            </w:r>
          </w:p>
        </w:tc>
        <w:tc>
          <w:tcPr>
            <w:tcW w:type="dxa" w:w="1512"/>
          </w:tcPr>
          <w:p>
            <w:pPr>
              <w:spacing w:before="60" w:after="60"/>
            </w:pPr>
            <w:r>
              <w:rPr>
                <w:b/>
              </w:rPr>
              <w:t>Justificación</w:t>
            </w:r>
          </w:p>
        </w:tc>
        <w:tc>
          <w:tcPr>
            <w:tcW w:type="dxa" w:w="1512"/>
          </w:tcPr>
          <w:p/>
        </w:tc>
      </w:tr>
      <w:tr>
        <w:tc>
          <w:tcPr>
            <w:tcW w:type="dxa" w:w="1512"/>
          </w:tcPr>
          <w:p>
            <w:pPr/>
            <w:r>
              <w:t>Baseline</w:t>
            </w:r>
          </w:p>
        </w:tc>
        <w:tc>
          <w:tcPr>
            <w:tcW w:type="dxa" w:w="1512"/>
          </w:tcPr>
          <w:p>
            <w:pPr/>
            <w:r>
              <w:t>Seasonal Naïve</w:t>
            </w:r>
          </w:p>
        </w:tc>
        <w:tc>
          <w:tcPr>
            <w:tcW w:type="dxa" w:w="1512"/>
          </w:tcPr>
          <w:p>
            <w:pPr/>
            <w:r>
              <w:t>NumPy (propia)</w:t>
            </w:r>
          </w:p>
        </w:tc>
        <w:tc>
          <w:tcPr>
            <w:tcW w:type="dxa" w:w="1512"/>
          </w:tcPr>
          <w:p>
            <w:pPr/>
            <w:r>
              <w:t>Repite el patrón estacional de los últimos 12 meses</w:t>
            </w:r>
          </w:p>
        </w:tc>
        <w:tc>
          <w:tcPr>
            <w:tcW w:type="dxa" w:w="1512"/>
          </w:tcPr>
          <w:p>
            <w:pPr/>
            <w:r>
              <w:t>Referencia mínima obligatoria (Hyndman y Athanasopoulos, 2021)</w:t>
            </w:r>
          </w:p>
        </w:tc>
        <w:tc>
          <w:tcPr>
            <w:tcW w:type="dxa" w:w="1512"/>
          </w:tcPr>
          <w:p/>
        </w:tc>
      </w:tr>
      <w:tr>
        <w:tc>
          <w:tcPr>
            <w:tcW w:type="dxa" w:w="1512"/>
          </w:tcPr>
          <w:p>
            <w:pPr/>
            <w:r>
              <w:t>Estadístico</w:t>
            </w:r>
          </w:p>
        </w:tc>
        <w:tc>
          <w:tcPr>
            <w:tcW w:type="dxa" w:w="1512"/>
          </w:tcPr>
          <w:p>
            <w:pPr/>
            <w:r>
              <w:t>ETS</w:t>
            </w:r>
          </w:p>
        </w:tc>
        <w:tc>
          <w:tcPr>
            <w:tcW w:type="dxa" w:w="1512"/>
          </w:tcPr>
          <w:p>
            <w:pPr/>
            <w:r>
              <w:t>statsforecast (AutoETS)</w:t>
            </w:r>
          </w:p>
        </w:tc>
        <w:tc>
          <w:tcPr>
            <w:tcW w:type="dxa" w:w="1512"/>
          </w:tcPr>
          <w:p>
            <w:pPr/>
            <w:r>
              <w:t>Selección automática por AICc</w:t>
            </w:r>
          </w:p>
        </w:tc>
        <w:tc>
          <w:tcPr>
            <w:tcW w:type="dxa" w:w="1512"/>
          </w:tcPr>
          <w:p>
            <w:pPr/>
            <w:r>
              <w:t>Estándar FP\</w:t>
            </w:r>
          </w:p>
        </w:tc>
        <w:tc>
          <w:tcPr>
            <w:tcW w:type="dxa" w:w="1512"/>
          </w:tcPr>
          <w:p>
            <w:pPr/>
            <w:r>
              <w:t>A; estado actual de la práctica (Armstrong, 2001)</w:t>
            </w:r>
          </w:p>
        </w:tc>
      </w:tr>
      <w:tr>
        <w:tc>
          <w:tcPr>
            <w:tcW w:type="dxa" w:w="1512"/>
          </w:tcPr>
          <w:p>
            <w:pPr/>
            <w:r>
              <w:t>Estadístico</w:t>
            </w:r>
          </w:p>
        </w:tc>
        <w:tc>
          <w:tcPr>
            <w:tcW w:type="dxa" w:w="1512"/>
          </w:tcPr>
          <w:p>
            <w:pPr/>
            <w:r>
              <w:t>Holt-Winters</w:t>
            </w:r>
          </w:p>
        </w:tc>
        <w:tc>
          <w:tcPr>
            <w:tcW w:type="dxa" w:w="1512"/>
          </w:tcPr>
          <w:p>
            <w:pPr/>
            <w:r>
              <w:t>statsmodels</w:t>
            </w:r>
          </w:p>
        </w:tc>
        <w:tc>
          <w:tcPr>
            <w:tcW w:type="dxa" w:w="1512"/>
          </w:tcPr>
          <w:p>
            <w:pPr/>
            <w:r>
              <w:t>Variante aditiva o multiplicativa seleccionada por los datos</w:t>
            </w:r>
          </w:p>
        </w:tc>
        <w:tc>
          <w:tcPr>
            <w:tcW w:type="dxa" w:w="1512"/>
          </w:tcPr>
          <w:p>
            <w:pPr/>
            <w:r>
              <w:t>Versión extendida con estacionalidad explícita (Hyndman y Athanasopoulos, 2021)</w:t>
            </w:r>
          </w:p>
        </w:tc>
        <w:tc>
          <w:tcPr>
            <w:tcW w:type="dxa" w:w="1512"/>
          </w:tcPr>
          <w:p/>
        </w:tc>
      </w:tr>
      <w:tr>
        <w:tc>
          <w:tcPr>
            <w:tcW w:type="dxa" w:w="1512"/>
          </w:tcPr>
          <w:p>
            <w:pPr/>
            <w:r>
              <w:t>Estadístico</w:t>
            </w:r>
          </w:p>
        </w:tc>
        <w:tc>
          <w:tcPr>
            <w:tcW w:type="dxa" w:w="1512"/>
          </w:tcPr>
          <w:p>
            <w:pPr/>
            <w:r>
              <w:t>SARIMA</w:t>
            </w:r>
          </w:p>
        </w:tc>
        <w:tc>
          <w:tcPr>
            <w:tcW w:type="dxa" w:w="1512"/>
          </w:tcPr>
          <w:p>
            <w:pPr/>
            <w:r>
              <w:t>statsforecast (AutoARIMA)</w:t>
            </w:r>
          </w:p>
        </w:tc>
        <w:tc>
          <w:tcPr>
            <w:tcW w:type="dxa" w:w="1512"/>
          </w:tcPr>
          <w:p>
            <w:pPr/>
            <w:r>
              <w:t>Algoritmo Hyndman-Khandakar; orden seleccionado por AICc</w:t>
            </w:r>
          </w:p>
        </w:tc>
        <w:tc>
          <w:tcPr>
            <w:tcW w:type="dxa" w:w="1512"/>
          </w:tcPr>
          <w:p>
            <w:pPr/>
            <w:r>
              <w:t>Modelo univariado con estacionalidad de referencia (Hyndman y Athanasopoulos, 2021)</w:t>
            </w:r>
          </w:p>
        </w:tc>
        <w:tc>
          <w:tcPr>
            <w:tcW w:type="dxa" w:w="1512"/>
          </w:tcPr>
          <w:p/>
        </w:tc>
      </w:tr>
      <w:tr>
        <w:tc>
          <w:tcPr>
            <w:tcW w:type="dxa" w:w="1512"/>
          </w:tcPr>
          <w:p>
            <w:pPr/>
            <w:r>
              <w:t>ML</w:t>
            </w:r>
          </w:p>
        </w:tc>
        <w:tc>
          <w:tcPr>
            <w:tcW w:type="dxa" w:w="1512"/>
          </w:tcPr>
          <w:p>
            <w:pPr/>
            <w:r>
              <w:t>LightGBM</w:t>
            </w:r>
          </w:p>
        </w:tc>
        <w:tc>
          <w:tcPr>
            <w:tcW w:type="dxa" w:w="1512"/>
          </w:tcPr>
          <w:p>
            <w:pPr/>
            <w:r>
              <w:t>lightgbm</w:t>
            </w:r>
          </w:p>
        </w:tc>
        <w:tc>
          <w:tcPr>
            <w:tcW w:type="dxa" w:w="1512"/>
          </w:tcPr>
          <w:p>
            <w:pPr/>
            <w:r>
              <w:t>Global forecasting tabular; 36 lags; predicción recursiva</w:t>
            </w:r>
          </w:p>
        </w:tc>
        <w:tc>
          <w:tcPr>
            <w:tcW w:type="dxa" w:w="1512"/>
          </w:tcPr>
          <w:p>
            <w:pPr/>
            <w:r>
              <w:t>Mejor resultado de gradient boosting en M4/M5 (Januschowski et al., 2020)</w:t>
            </w:r>
          </w:p>
        </w:tc>
        <w:tc>
          <w:tcPr>
            <w:tcW w:type="dxa" w:w="1512"/>
          </w:tcPr>
          <w:p/>
        </w:tc>
      </w:tr>
      <w:tr>
        <w:tc>
          <w:tcPr>
            <w:tcW w:type="dxa" w:w="1512"/>
          </w:tcPr>
          <w:p>
            <w:pPr/>
            <w:r>
              <w:t>DL</w:t>
            </w:r>
          </w:p>
        </w:tc>
        <w:tc>
          <w:tcPr>
            <w:tcW w:type="dxa" w:w="1512"/>
          </w:tcPr>
          <w:p>
            <w:pPr/>
            <w:r>
              <w:t>MLP Bottleneck</w:t>
            </w:r>
          </w:p>
        </w:tc>
        <w:tc>
          <w:tcPr>
            <w:tcW w:type="dxa" w:w="1512"/>
          </w:tcPr>
          <w:p>
            <w:pPr/>
            <w:r>
              <w:t>PyTorch</w:t>
            </w:r>
          </w:p>
        </w:tc>
        <w:tc>
          <w:tcPr>
            <w:tcW w:type="dxa" w:w="1512"/>
          </w:tcPr>
          <w:p>
            <w:pPr/>
            <w:r>
              <w:t>Global; direct forecasting 18 pasos; BatchNorm + AdamW</w:t>
            </w:r>
          </w:p>
        </w:tc>
        <w:tc>
          <w:tcPr>
            <w:tcW w:type="dxa" w:w="1512"/>
          </w:tcPr>
          <w:p>
            <w:pPr/>
            <w:r>
              <w:t>Evalúa si DL tabular supera al gradient boosting (Lim y Zohren, 2021)</w:t>
            </w:r>
          </w:p>
        </w:tc>
        <w:tc>
          <w:tcPr>
            <w:tcW w:type="dxa" w:w="1512"/>
          </w:tcPr>
          <w:p/>
        </w:tc>
      </w:tr>
      <w:tr>
        <w:tc>
          <w:tcPr>
            <w:tcW w:type="dxa" w:w="1512"/>
          </w:tcPr>
          <w:p>
            <w:pPr/>
            <w:r>
              <w:t>DL</w:t>
            </w:r>
          </w:p>
        </w:tc>
        <w:tc>
          <w:tcPr>
            <w:tcW w:type="dxa" w:w="1512"/>
          </w:tcPr>
          <w:p>
            <w:pPr/>
            <w:r>
              <w:t>N-BEATS</w:t>
            </w:r>
          </w:p>
        </w:tc>
        <w:tc>
          <w:tcPr>
            <w:tcW w:type="dxa" w:w="1512"/>
          </w:tcPr>
          <w:p>
            <w:pPr/>
            <w:r>
              <w:t>PyTorch (propia)</w:t>
            </w:r>
          </w:p>
        </w:tc>
        <w:tc>
          <w:tcPr>
            <w:tcW w:type="dxa" w:w="1512"/>
          </w:tcPr>
          <w:p>
            <w:pPr/>
            <w:r>
              <w:t>Global; direct; bloques de tendencia y estacionalidad</w:t>
            </w:r>
          </w:p>
        </w:tc>
        <w:tc>
          <w:tcPr>
            <w:tcW w:type="dxa" w:w="1512"/>
          </w:tcPr>
          <w:p>
            <w:pPr/>
            <w:r>
              <w:t>Arquitectura nativa de series temporales con interpretabilidad estructural (Oreshkin et al., 2020)</w:t>
            </w:r>
          </w:p>
        </w:tc>
        <w:tc>
          <w:tcPr>
            <w:tcW w:type="dxa" w:w="1512"/>
          </w:tcPr>
          <w:p/>
        </w:tc>
      </w:tr>
    </w:tbl>
    <w:p>
      <w:pPr>
        <w:pStyle w:val="Piedefoto-tabla"/>
      </w:pPr>
      <w:r>
        <w:t>Fuente: elaboración propia.</w:t>
      </w:r>
    </w:p>
    <w:p>
      <w:pPr/>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pPr>
        <w:pStyle w:val="Heading2"/>
      </w:pPr>
      <w:r>
        <w:t>Métricas de evaluación</w:t>
      </w:r>
    </w:p>
    <w:p>
      <w:pPr/>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9 describe las seis métricas adoptadas.</w:t>
      </w:r>
    </w:p>
    <w:p>
      <w:pPr>
        <w:pStyle w:val="Caption"/>
      </w:pPr>
      <w:r>
        <w:t>Tabla 9. Métricas de evaluación adoptadas: categoría, nivel de análisis y rol en la comparativa.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Nivel de análisis</w:t>
            </w:r>
          </w:p>
        </w:tc>
        <w:tc>
          <w:tcPr>
            <w:tcW w:type="dxa" w:w="2268"/>
          </w:tcPr>
          <w:p>
            <w:pPr>
              <w:spacing w:before="60" w:after="60"/>
            </w:pPr>
            <w:r>
              <w:rPr>
                <w:b/>
              </w:rPr>
              <w:t>Rol en la comparativa</w:t>
            </w:r>
          </w:p>
        </w:tc>
      </w:tr>
      <w:tr>
        <w:tc>
          <w:tcPr>
            <w:tcW w:type="dxa" w:w="2268"/>
          </w:tcPr>
          <w:p>
            <w:pPr/>
            <w:r>
              <w:t>MAE</w:t>
            </w:r>
          </w:p>
        </w:tc>
        <w:tc>
          <w:tcPr>
            <w:tcW w:type="dxa" w:w="2268"/>
          </w:tcPr>
          <w:p>
            <w:pPr/>
            <w:r>
              <w:t>Error absoluto</w:t>
            </w:r>
          </w:p>
        </w:tc>
        <w:tc>
          <w:tcPr>
            <w:tcW w:type="dxa" w:w="2268"/>
          </w:tcPr>
          <w:p>
            <w:pPr/>
            <w:r>
              <w:t>Por serie Global</w:t>
            </w:r>
          </w:p>
        </w:tc>
        <w:tc>
          <w:tcPr>
            <w:tcW w:type="dxa" w:w="2268"/>
          </w:tcPr>
          <w:p>
            <w:pPr/>
            <w:r>
              <w:t>Error en unidades originales; intuición directa del analista</w:t>
            </w:r>
          </w:p>
        </w:tc>
      </w:tr>
      <w:tr>
        <w:tc>
          <w:tcPr>
            <w:tcW w:type="dxa" w:w="2268"/>
          </w:tcPr>
          <w:p>
            <w:pPr/>
            <w:r>
              <w:t>RMSE</w:t>
            </w:r>
          </w:p>
        </w:tc>
        <w:tc>
          <w:tcPr>
            <w:tcW w:type="dxa" w:w="2268"/>
          </w:tcPr>
          <w:p>
            <w:pPr/>
            <w:r>
              <w:t>Error cuadrático</w:t>
            </w:r>
          </w:p>
        </w:tc>
        <w:tc>
          <w:tcPr>
            <w:tcW w:type="dxa" w:w="2268"/>
          </w:tcPr>
          <w:p>
            <w:pPr/>
            <w:r>
              <w:t>Por serie Global</w:t>
            </w:r>
          </w:p>
        </w:tc>
        <w:tc>
          <w:tcPr>
            <w:tcW w:type="dxa" w:w="2268"/>
          </w:tcPr>
          <w:p>
            <w:pPr/>
            <w:r>
              <w:t>Sensibilidad a errores grandes; penaliza outliers</w:t>
            </w:r>
          </w:p>
        </w:tc>
      </w:tr>
      <w:tr>
        <w:tc>
          <w:tcPr>
            <w:tcW w:type="dxa" w:w="2268"/>
          </w:tcPr>
          <w:p>
            <w:pPr/>
            <w:r>
              <w:t>MAPE</w:t>
            </w:r>
          </w:p>
        </w:tc>
        <w:tc>
          <w:tcPr>
            <w:tcW w:type="dxa" w:w="2268"/>
          </w:tcPr>
          <w:p>
            <w:pPr/>
            <w:r>
              <w:t>Error porcentual</w:t>
            </w:r>
          </w:p>
        </w:tc>
        <w:tc>
          <w:tcPr>
            <w:tcW w:type="dxa" w:w="2268"/>
          </w:tcPr>
          <w:p>
            <w:pPr/>
            <w:r>
              <w:t>Por serie Global</w:t>
            </w:r>
          </w:p>
        </w:tc>
        <w:tc>
          <w:tcPr>
            <w:tcW w:type="dxa" w:w="2268"/>
          </w:tcPr>
          <w:p>
            <w:pPr/>
            <w:r>
              <w:t>Comunicación a equipos de negocio; complementa al sMAPE</w:t>
            </w:r>
          </w:p>
        </w:tc>
      </w:tr>
      <w:tr>
        <w:tc>
          <w:tcPr>
            <w:tcW w:type="dxa" w:w="2268"/>
          </w:tcPr>
          <w:p>
            <w:pPr/>
            <w:r>
              <w:t>sMAPE</w:t>
            </w:r>
          </w:p>
        </w:tc>
        <w:tc>
          <w:tcPr>
            <w:tcW w:type="dxa" w:w="2268"/>
          </w:tcPr>
          <w:p>
            <w:pPr/>
            <w:r>
              <w:t>Error porcentual simétrico</w:t>
            </w:r>
          </w:p>
        </w:tc>
        <w:tc>
          <w:tcPr>
            <w:tcW w:type="dxa" w:w="2268"/>
          </w:tcPr>
          <w:p>
            <w:pPr/>
            <w:r>
              <w:t>Por serie Global</w:t>
            </w:r>
          </w:p>
        </w:tc>
        <w:tc>
          <w:tcPr>
            <w:tcW w:type="dxa" w:w="2268"/>
          </w:tcPr>
          <w:p>
            <w:pPr/>
            <w:r>
              <w:t>Métrica principal; estándar M4; permite comparar con literatura (Petropoulos et al., 2022)</w:t>
            </w:r>
          </w:p>
        </w:tc>
      </w:tr>
      <w:tr>
        <w:tc>
          <w:tcPr>
            <w:tcW w:type="dxa" w:w="2268"/>
          </w:tcPr>
          <w:p>
            <w:pPr/>
            <w:r>
              <w:t>MASE</w:t>
            </w:r>
          </w:p>
        </w:tc>
        <w:tc>
          <w:tcPr>
            <w:tcW w:type="dxa" w:w="2268"/>
          </w:tcPr>
          <w:p>
            <w:pPr/>
            <w:r>
              <w:t>Error escalado</w:t>
            </w:r>
          </w:p>
        </w:tc>
        <w:tc>
          <w:tcPr>
            <w:tcW w:type="dxa" w:w="2268"/>
          </w:tcPr>
          <w:p>
            <w:pPr/>
            <w:r>
              <w:t>Por serie Global</w:t>
            </w:r>
          </w:p>
        </w:tc>
        <w:tc>
          <w:tcPr>
            <w:tcW w:type="dxa" w:w="2268"/>
          </w:tcPr>
          <w:p>
            <w:pPr/>
            <w:r>
              <w:t>Comparación robusta frente al naïve estacional; valores &lt;1 indican superación del baseline (Hyndman y Athanasopoulos, 2021)</w:t>
            </w:r>
          </w:p>
        </w:tc>
      </w:tr>
      <w:tr>
        <w:tc>
          <w:tcPr>
            <w:tcW w:type="dxa" w:w="2268"/>
          </w:tcPr>
          <w:p>
            <w:pPr/>
            <w:r>
              <w:t>WAPE</w:t>
            </w:r>
          </w:p>
        </w:tc>
        <w:tc>
          <w:tcPr>
            <w:tcW w:type="dxa" w:w="2268"/>
          </w:tcPr>
          <w:p>
            <w:pPr/>
            <w:r>
              <w:t>Impacto económico</w:t>
            </w:r>
          </w:p>
        </w:tc>
        <w:tc>
          <w:tcPr>
            <w:tcW w:type="dxa" w:w="2268"/>
          </w:tcPr>
          <w:p>
            <w:pPr/>
            <w:r>
              <w:t>Agregado Por decil</w:t>
            </w:r>
          </w:p>
        </w:tc>
        <w:tc>
          <w:tcPr>
            <w:tcW w:type="dxa" w:w="2268"/>
          </w:tcPr>
          <w:p>
            <w:pPr/>
            <w:r>
              <w:t>Pondera errores por volumen; alinea la medición con el impacto real en el negocio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pPr>
        <w:pStyle w:val="Heading2"/>
      </w:pPr>
      <w:r>
        <w:t>Protocolo de validación temporal</w:t>
      </w:r>
    </w:p>
    <w:p>
      <w:pPr/>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10 documenta los parámetros del protocolo y su justificación.</w:t>
      </w:r>
    </w:p>
    <w:p>
      <w:pPr>
        <w:pStyle w:val="Caption"/>
      </w:pPr>
      <w:r>
        <w:t>Tabla 10. Parámetros del protocolo de backtesting walk-forward y su justificación.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Parámetro</w:t>
            </w:r>
          </w:p>
        </w:tc>
        <w:tc>
          <w:tcPr>
            <w:tcW w:type="dxa" w:w="4535"/>
          </w:tcPr>
          <w:p>
            <w:pPr>
              <w:spacing w:before="60" w:after="60"/>
            </w:pPr>
            <w:r>
              <w:rPr>
                <w:b/>
              </w:rPr>
              <w:t>Valor y justificación</w:t>
            </w:r>
          </w:p>
        </w:tc>
      </w:tr>
      <w:tr>
        <w:tc>
          <w:tcPr>
            <w:tcW w:type="dxa" w:w="4535"/>
          </w:tcPr>
          <w:p>
            <w:pPr/>
            <w:r>
              <w:t>Ventana mínima de entrenamiento</w:t>
            </w:r>
          </w:p>
        </w:tc>
        <w:tc>
          <w:tcPr>
            <w:tcW w:type="dxa" w:w="4535"/>
          </w:tcPr>
          <w:p>
            <w:pPr/>
            <w:r>
              <w:t>54 meses (4,5 años). Garantiza al menos cuatro ciclos estacionales completos para el ajuste de parámetros (Hyndman y Athanasopoulos, 2021).</w:t>
            </w:r>
          </w:p>
        </w:tc>
      </w:tr>
      <w:tr>
        <w:tc>
          <w:tcPr>
            <w:tcW w:type="dxa" w:w="4535"/>
          </w:tcPr>
          <w:p>
            <w:pPr/>
            <w:r>
              <w:t>Horizonte de pronóstico</w:t>
            </w:r>
          </w:p>
        </w:tc>
        <w:tc>
          <w:tcPr>
            <w:tcW w:type="dxa" w:w="4535"/>
          </w:tcPr>
          <w:p>
            <w:pPr/>
            <w:r>
              <w:t>18 meses. Estándar M4 mensual; cubre aproximadamente un ciclo y medio de planificación financiera.</w:t>
            </w:r>
          </w:p>
        </w:tc>
      </w:tr>
      <w:tr>
        <w:tc>
          <w:tcPr>
            <w:tcW w:type="dxa" w:w="4535"/>
          </w:tcPr>
          <w:p>
            <w:pPr/>
            <w:r>
              <w:t>Desplazamiento entre iteraciones</w:t>
            </w:r>
          </w:p>
        </w:tc>
        <w:tc>
          <w:tcPr>
            <w:tcW w:type="dxa" w:w="4535"/>
          </w:tcPr>
          <w:p>
            <w:pPr/>
            <w:r>
              <w:t>12 meses. Cada nueva ventana avanza un año completo, preservando la estructura estacional de los datos.</w:t>
            </w:r>
          </w:p>
        </w:tc>
      </w:tr>
      <w:tr>
        <w:tc>
          <w:tcPr>
            <w:tcW w:type="dxa" w:w="4535"/>
          </w:tcPr>
          <w:p>
            <w:pPr/>
            <w:r>
              <w:t>Variante de ventana</w:t>
            </w:r>
          </w:p>
        </w:tc>
        <w:tc>
          <w:tcPr>
            <w:tcW w:type="dxa" w:w="4535"/>
          </w:tcPr>
          <w:p>
            <w:pPr/>
            <w:r>
              <w:t>Expanding window (ventana creciente). El entrenamiento acumula todas las observaciones disponibles hasta el punto de corte de cada iteración. Apropiado dado que las series no presentan cambios de régimen conocidos.</w:t>
            </w:r>
          </w:p>
        </w:tc>
      </w:tr>
      <w:tr>
        <w:tc>
          <w:tcPr>
            <w:tcW w:type="dxa" w:w="4535"/>
          </w:tcPr>
          <w:p>
            <w:pPr/>
            <w:r>
              <w:t>Iteraciones por serie</w:t>
            </w:r>
          </w:p>
        </w:tc>
        <w:tc>
          <w:tcPr>
            <w:tcW w:type="dxa" w:w="4535"/>
          </w:tcPr>
          <w:p>
            <w:pPr/>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tc>
          <w:tcPr>
            <w:tcW w:type="dxa" w:w="4535"/>
          </w:tcPr>
          <w:p>
            <w:pPr/>
            <w:r>
              <w:t>Control de fuga de datos</w:t>
            </w:r>
          </w:p>
        </w:tc>
        <w:tc>
          <w:tcPr>
            <w:tcW w:type="dxa" w:w="4535"/>
          </w:tcPr>
          <w:p>
            <w:pPr/>
            <w:r>
              <w:t>En ninguna iteración los datos del período de evaluación (t+1 a t+18) son accesibles durante el ajuste del modelo ni durante la ingeniería de features. Verificado automáticamente por el módulo verify_no_leakage (Bergmeir y Hyndman, 2012).</w:t>
            </w:r>
          </w:p>
        </w:tc>
      </w:tr>
      <w:tr>
        <w:tc>
          <w:tcPr>
            <w:tcW w:type="dxa" w:w="4535"/>
          </w:tcPr>
          <w:p>
            <w:pPr/>
            <w:r>
              <w:t>y Hyndman y Athanasopoulos (2021).</w:t>
            </w:r>
          </w:p>
        </w:tc>
        <w:tc>
          <w:tcPr>
            <w:tcW w:type="dxa" w:w="4535"/>
          </w:tcPr>
          <w:p/>
        </w:tc>
      </w:tr>
    </w:tbl>
    <w:p>
      <w:pPr>
        <w:pStyle w:val="Piedefoto-tabla"/>
      </w:pPr>
      <w:r>
        <w:t>Fuente: elaboración propia a partir de Bergmeir y Hyndman (2012) y Hyndman y Athanasopoulos (2021).</w:t>
      </w:r>
    </w:p>
    <w:p>
      <w:pPr/>
      <w:r>
        <w:t>Las métricas finales reportadas en el Capítulo 5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pPr>
        <w:pStyle w:val="Caption"/>
      </w:pPr>
      <w:r>
        <w:t>Figura 1. Esquema de validación walk-forward con ventana creciente (expanding window). Cada fila representa un fold; el área azul corresponde al conjunto de entrenamiento y el área roja al horizonte de evaluación de 18 meses.</w:t>
      </w:r>
    </w:p>
    <w:p>
      <w:pPr>
        <w:pStyle w:val="Figuras"/>
        <w:jc w:val="center"/>
      </w:pPr>
      <w:r>
        <w:drawing>
          <wp:inline>
            <wp:extent cx="5220000" cy="1777546"/>
            <wp:docPr id="1" name="Picture 1"/>
            <wp:cNvGraphicFramePr>
              <a:graphicFrameLocks noChangeAspect="1"/>
            </wp:cNvGraphicFramePr>
            <a:graphic>
              <a:graphicData uri="http://schemas.openxmlformats.org/drawingml/2006/picture">
                <pic:pic>
                  <pic:nvPicPr>
                    <pic:cNvPr id="0" name="fig01_walk_forward_schema.png"/>
                    <pic:cNvPicPr/>
                  </pic:nvPicPr>
                  <pic:blipFill>
                    <a:blip r:embed="rId20"/>
                    <a:stretch>
                      <a:fillRect/>
                    </a:stretch>
                  </pic:blipFill>
                  <pic:spPr>
                    <a:xfrm>
                      <a:off x="0" y="0"/>
                      <a:ext cx="5220000" cy="1777546"/>
                    </a:xfrm>
                    <a:prstGeom prst="rect"/>
                  </pic:spPr>
                </pic:pic>
              </a:graphicData>
            </a:graphic>
          </wp:inline>
        </w:drawing>
      </w:r>
    </w:p>
    <w:p>
      <w:pPr>
        <w:pStyle w:val="Piedefoto-tabla"/>
      </w:pPr>
      <w:r>
        <w:t>Fuente: elaboración propia. El desplazamiento entre iteraciones es de 12 meses (step); la ventana de entrenamiento crece acumulando todas las observaciones históricas disponibles hasta el punto de corte de cada fold.</w:t>
      </w:r>
    </w:p>
    <w:p>
      <w:pPr>
        <w:pStyle w:val="Heading2"/>
      </w:pPr>
      <w:r>
        <w:t>Criterios de éxito</w:t>
      </w:r>
    </w:p>
    <w:p>
      <w:pPr/>
      <w:r>
        <w:t>Para que la comparativa produzca conclusiones operacionalizables y no simplemente un ranking de modelos, es necesario definir con antelación qué condiciones constituyen un resultado significativo. Los criterios de la Tabla 11 operan en dos niveles: cuándo un modelo supera al baseline, y cuándo la mejora de un modelo complejo sobre otro justifica la inversión adicional en complejidad.</w:t>
      </w:r>
    </w:p>
    <w:p>
      <w:pPr>
        <w:pStyle w:val="Caption"/>
      </w:pPr>
      <w:r>
        <w:t>Tabla 11. Criterios de éxito de la comparativa: condiciones de superación del baseline y de diferenciación entre modelos.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Criterio</w:t>
            </w:r>
          </w:p>
        </w:tc>
        <w:tc>
          <w:tcPr>
            <w:tcW w:type="dxa" w:w="3024"/>
          </w:tcPr>
          <w:p>
            <w:pPr>
              <w:spacing w:before="60" w:after="60"/>
            </w:pPr>
            <w:r>
              <w:rPr>
                <w:b/>
              </w:rPr>
              <w:t>Condición de superación del baseline</w:t>
            </w:r>
          </w:p>
        </w:tc>
        <w:tc>
          <w:tcPr>
            <w:tcW w:type="dxa" w:w="3024"/>
          </w:tcPr>
          <w:p>
            <w:pPr>
              <w:spacing w:before="60" w:after="60"/>
            </w:pPr>
            <w:r>
              <w:rPr>
                <w:b/>
              </w:rPr>
              <w:t>Condición de diferenciación entre modelos complejos</w:t>
            </w:r>
          </w:p>
        </w:tc>
      </w:tr>
      <w:tr>
        <w:tc>
          <w:tcPr>
            <w:tcW w:type="dxa" w:w="3024"/>
          </w:tcPr>
          <w:p>
            <w:pPr/>
            <w:r>
              <w:t>sMAPE global</w:t>
            </w:r>
          </w:p>
        </w:tc>
        <w:tc>
          <w:tcPr>
            <w:tcW w:type="dxa" w:w="3024"/>
          </w:tcPr>
          <w:p>
            <w:pPr/>
            <w:r>
              <w:t>Reducción ≥ 1 pp absoluto respecto al Seasonal Naïve (referencia exploratoria: 13,667 %)</w:t>
            </w:r>
          </w:p>
        </w:tc>
        <w:tc>
          <w:tcPr>
            <w:tcW w:type="dxa" w:w="3024"/>
          </w:tcPr>
          <w:p>
            <w:pPr/>
            <w:r>
              <w:t>Reducción estadísticamente consistente entre iteraciones walk-forward</w:t>
            </w:r>
          </w:p>
        </w:tc>
      </w:tr>
      <w:tr>
        <w:tc>
          <w:tcPr>
            <w:tcW w:type="dxa" w:w="3024"/>
          </w:tcPr>
          <w:p>
            <w:pPr/>
            <w:r>
              <w:t>MASE global</w:t>
            </w:r>
          </w:p>
        </w:tc>
        <w:tc>
          <w:tcPr>
            <w:tcW w:type="dxa" w:w="3024"/>
          </w:tcPr>
          <w:p>
            <w:pPr/>
            <w:r>
              <w:t>MASE &lt; 1,0 para todos los modelos evaluados</w:t>
            </w:r>
          </w:p>
        </w:tc>
        <w:tc>
          <w:tcPr>
            <w:tcW w:type="dxa" w:w="3024"/>
          </w:tcPr>
          <w:p>
            <w:pPr/>
            <w:r>
              <w:t>MASE &lt; 0,90 para los modelos de mayor complejidad</w:t>
            </w:r>
          </w:p>
        </w:tc>
      </w:tr>
      <w:tr>
        <w:tc>
          <w:tcPr>
            <w:tcW w:type="dxa" w:w="3024"/>
          </w:tcPr>
          <w:p>
            <w:pPr/>
            <w:r>
              <w:t>WAPE</w:t>
            </w:r>
          </w:p>
        </w:tc>
        <w:tc>
          <w:tcPr>
            <w:tcW w:type="dxa" w:w="3024"/>
          </w:tcPr>
          <w:p>
            <w:pPr/>
            <w:r>
              <w:t>El WAPE de cualquier modelo no supera el WAPE del baseline en el 30 % de mayor volumen</w:t>
            </w:r>
          </w:p>
        </w:tc>
        <w:tc>
          <w:tcPr>
            <w:tcW w:type="dxa" w:w="3024"/>
          </w:tcPr>
          <w:p>
            <w:pPr/>
            <w:r>
              <w:t>Reducción del WAPE en los deciles de mayor volumen a medida que aumenta la complejidad</w:t>
            </w:r>
          </w:p>
        </w:tc>
      </w:tr>
      <w:tr>
        <w:tc>
          <w:tcPr>
            <w:tcW w:type="dxa" w:w="3024"/>
          </w:tcPr>
          <w:p>
            <w:pPr/>
            <w:r>
              <w:t>Estabilidad temporal</w:t>
            </w:r>
          </w:p>
        </w:tc>
        <w:tc>
          <w:tcPr>
            <w:tcW w:type="dxa" w:w="3024"/>
          </w:tcPr>
          <w:p>
            <w:pPr/>
            <w:r>
              <w:t>CV del sMAPE entre iteraciones walk-forward &lt; 25 % para todos los modelos</w:t>
            </w:r>
          </w:p>
        </w:tc>
        <w:tc>
          <w:tcPr>
            <w:tcW w:type="dxa" w:w="3024"/>
          </w:tcPr>
          <w:p>
            <w:pPr/>
            <w:r>
              <w:t>Los modelos complejos no muestran deterioro significativo en las iteraciones más recientes</w:t>
            </w:r>
          </w:p>
        </w:tc>
      </w:tr>
      <w:tr>
        <w:tc>
          <w:tcPr>
            <w:tcW w:type="dxa" w:w="3024"/>
          </w:tcPr>
          <w:p>
            <w:pPr/>
            <w:r>
              <w:t>Significación estadística</w:t>
            </w:r>
          </w:p>
        </w:tc>
        <w:tc>
          <w:tcPr>
            <w:tcW w:type="dxa" w:w="3024"/>
          </w:tcPr>
          <w:p>
            <w:pPr/>
            <w:r>
              <w:t xml:space="preserve">Diferencia ≥ 0,5 pp en sMAPE entre el mejor modelo y el Seasonal Naïve, sostenida en más del 60 % de los </w:t>
            </w:r>
            <w:r>
              <w:rPr>
                <w:i/>
              </w:rPr>
              <w:t>folds</w:t>
            </w:r>
          </w:p>
        </w:tc>
        <w:tc>
          <w:tcPr>
            <w:tcW w:type="dxa" w:w="3024"/>
          </w:tcPr>
          <w:p>
            <w:pPr/>
            <w:r>
              <w:t xml:space="preserve">Consistencia evaluada mediante intervalo de confianza </w:t>
            </w:r>
            <w:r>
              <w:rPr>
                <w:i/>
              </w:rPr>
              <w:t>bootstrap</w:t>
            </w:r>
            <w:r>
              <w:t xml:space="preserve"> por </w:t>
            </w:r>
            <w:r>
              <w:rPr>
                <w:i/>
              </w:rPr>
              <w:t>folds</w:t>
            </w:r>
            <w:r>
              <w:t xml:space="preserve">; diferencia no significativa implica que la mayor complejidad no se justifica en este contexto (Bergmeir y Hyndman, 2012)</w:t>
            </w:r>
          </w:p>
        </w:tc>
      </w:tr>
    </w:tbl>
    <w:p>
      <w:pPr>
        <w:pStyle w:val="Piedefoto-tabla"/>
      </w:pPr>
      <w: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pPr/>
      <w:r>
        <w:t xml:space="preserve">Estos criterios no son umbrales absolutos derivados de la teoría, sino referencias operativas construidas a partir de los resultados reportados en benchmarks comparables (Makridakis et al., 2022). Dos de ellos merecen una mención específica. En primer lugar, el criterio de estabilidad temporal (CV del sMAPE &lt; 25 %) responde a una necesidad propia del contexto de FP&amp;A que los benchmarks convencionales rara vez abordan: un modelo que produce estimaciones excelentes en algunos períodos pero se deteriora en otros tiene un valor práctico limitado porque los analistas no pueden confiar en él de forma sistemática. Este umbral tiene carácter aspiracional: la heterogeneidad del conjunto M4 Financial —que agrupa series macroeconómicas y financieras de naturaleza diversa— tiende a producir coeficientes de variación elevados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folds, evitando que diferencias puntuales en un único período se interpreten como superioridad sistemática del modelo más complejo.</w:t>
      </w:r>
    </w:p>
    <w:p>
      <w:r>
        <w:br w:type="page"/>
      </w:r>
    </w:p>
    <w:p>
      <w:pPr>
        <w:pStyle w:val="Heading1"/>
      </w:pPr>
      <w:r>
        <w:t>Desarrollo de la comparativa</w:t>
      </w:r>
    </w:p>
    <w:p>
      <w:pPr/>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pPr>
        <w:pStyle w:val="Heading2"/>
      </w:pPr>
      <w:r>
        <w:t>Configuración del experimento ejecutado</w:t>
      </w:r>
    </w:p>
    <w:p>
      <w:pPr/>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pPr>
        <w:pStyle w:val="Heading2"/>
      </w:pPr>
      <w:r>
        <w:t>Resultados globales por modelo y métrica</w:t>
      </w:r>
    </w:p>
    <w:p>
      <w:pPr/>
      <w:r>
        <w:t>La Tabla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pPr>
        <w:pStyle w:val="Caption"/>
      </w:pPr>
      <w:r>
        <w:t>Tabla 12a. Métricas independientes de escala: sMAPE (%), MAPE (%) y MASE. Media ± desviación estándar sobre evaluaciones fold × serie. N=200 series estratificadas, protocolo walk-forward expanding window, máximo 5 folds por serie.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Modelo</w:t>
            </w:r>
          </w:p>
        </w:tc>
        <w:tc>
          <w:tcPr>
            <w:tcW w:type="dxa" w:w="2268"/>
          </w:tcPr>
          <w:p>
            <w:pPr>
              <w:spacing w:before="60" w:after="60"/>
            </w:pPr>
            <w:r>
              <w:rPr>
                <w:b/>
              </w:rPr>
              <w:t>sMAPE (%)</w:t>
            </w:r>
          </w:p>
        </w:tc>
        <w:tc>
          <w:tcPr>
            <w:tcW w:type="dxa" w:w="2268"/>
          </w:tcPr>
          <w:p>
            <w:pPr>
              <w:spacing w:before="60" w:after="60"/>
            </w:pPr>
            <w:r>
              <w:rPr>
                <w:b/>
              </w:rPr>
              <w:t>MAPE (%)</w:t>
            </w:r>
          </w:p>
        </w:tc>
        <w:tc>
          <w:tcPr>
            <w:tcW w:type="dxa" w:w="2268"/>
          </w:tcPr>
          <w:p>
            <w:pPr>
              <w:spacing w:before="60" w:after="60"/>
            </w:pPr>
            <w:r>
              <w:rPr>
                <w:b/>
              </w:rPr>
              <w:t>MASE</w:t>
            </w:r>
          </w:p>
        </w:tc>
      </w:tr>
      <w:tr>
        <w:tc>
          <w:tcPr>
            <w:tcW w:type="dxa" w:w="2268"/>
          </w:tcPr>
          <w:p>
            <w:pPr/>
            <w:r>
              <w:t>Seasonal Naïve</w:t>
            </w:r>
          </w:p>
        </w:tc>
        <w:tc>
          <w:tcPr>
            <w:tcW w:type="dxa" w:w="2268"/>
          </w:tcPr>
          <w:p>
            <w:pPr/>
            <w:r>
              <w:t>13.667 ± 12.658</w:t>
            </w:r>
          </w:p>
        </w:tc>
        <w:tc>
          <w:tcPr>
            <w:tcW w:type="dxa" w:w="2268"/>
          </w:tcPr>
          <w:p>
            <w:pPr/>
            <w:r>
              <w:t>14.186 ± 15.611</w:t>
            </w:r>
          </w:p>
        </w:tc>
        <w:tc>
          <w:tcPr>
            <w:tcW w:type="dxa" w:w="2268"/>
          </w:tcPr>
          <w:p>
            <w:pPr/>
            <w:r>
              <w:t>1.412 ± 1.102</w:t>
            </w:r>
          </w:p>
        </w:tc>
      </w:tr>
      <w:tr>
        <w:tc>
          <w:tcPr>
            <w:tcW w:type="dxa" w:w="2268"/>
          </w:tcPr>
          <w:p>
            <w:pPr/>
            <w:r>
              <w:t>ETS (AutoETS)</w:t>
            </w:r>
          </w:p>
        </w:tc>
        <w:tc>
          <w:tcPr>
            <w:tcW w:type="dxa" w:w="2268"/>
          </w:tcPr>
          <w:p>
            <w:pPr/>
            <w:r>
              <w:t>10.005 ± 10.512</w:t>
            </w:r>
          </w:p>
        </w:tc>
        <w:tc>
          <w:tcPr>
            <w:tcW w:type="dxa" w:w="2268"/>
          </w:tcPr>
          <w:p>
            <w:pPr/>
            <w:r>
              <w:t>10.571 ± 12.602</w:t>
            </w:r>
          </w:p>
        </w:tc>
        <w:tc>
          <w:tcPr>
            <w:tcW w:type="dxa" w:w="2268"/>
          </w:tcPr>
          <w:p>
            <w:pPr/>
            <w:r>
              <w:t>1.017 ± 0.903</w:t>
            </w:r>
          </w:p>
        </w:tc>
      </w:tr>
      <w:tr>
        <w:tc>
          <w:tcPr>
            <w:tcW w:type="dxa" w:w="2268"/>
          </w:tcPr>
          <w:p>
            <w:pPr/>
            <w:r>
              <w:t>Holt-Winters</w:t>
            </w:r>
          </w:p>
        </w:tc>
        <w:tc>
          <w:tcPr>
            <w:tcW w:type="dxa" w:w="2268"/>
          </w:tcPr>
          <w:p>
            <w:pPr/>
            <w:r>
              <w:t>11.157 ± 11.822</w:t>
            </w:r>
          </w:p>
        </w:tc>
        <w:tc>
          <w:tcPr>
            <w:tcW w:type="dxa" w:w="2268"/>
          </w:tcPr>
          <w:p>
            <w:pPr/>
            <w:r>
              <w:t>12.159 ± 15.411</w:t>
            </w:r>
          </w:p>
        </w:tc>
        <w:tc>
          <w:tcPr>
            <w:tcW w:type="dxa" w:w="2268"/>
          </w:tcPr>
          <w:p>
            <w:pPr/>
            <w:r>
              <w:t>1.145 ± 1.089</w:t>
            </w:r>
          </w:p>
        </w:tc>
      </w:tr>
      <w:tr>
        <w:tc>
          <w:tcPr>
            <w:tcW w:type="dxa" w:w="2268"/>
          </w:tcPr>
          <w:p>
            <w:pPr/>
            <w:r>
              <w:t>SARIMA (AutoARIMA)</w:t>
            </w:r>
          </w:p>
        </w:tc>
        <w:tc>
          <w:tcPr>
            <w:tcW w:type="dxa" w:w="2268"/>
          </w:tcPr>
          <w:p>
            <w:pPr/>
            <w:r>
              <w:t>10.825 ± 12.264</w:t>
            </w:r>
          </w:p>
        </w:tc>
        <w:tc>
          <w:tcPr>
            <w:tcW w:type="dxa" w:w="2268"/>
          </w:tcPr>
          <w:p>
            <w:pPr/>
            <w:r>
              <w:t>11.470 ± 14.148</w:t>
            </w:r>
          </w:p>
        </w:tc>
        <w:tc>
          <w:tcPr>
            <w:tcW w:type="dxa" w:w="2268"/>
          </w:tcPr>
          <w:p>
            <w:pPr/>
            <w:r>
              <w:t>1.093 ± 1.031</w:t>
            </w:r>
          </w:p>
        </w:tc>
      </w:tr>
      <w:tr>
        <w:tc>
          <w:tcPr>
            <w:tcW w:type="dxa" w:w="2268"/>
          </w:tcPr>
          <w:p>
            <w:pPr/>
            <w:r>
              <w:t>LightGBM</w:t>
            </w:r>
          </w:p>
        </w:tc>
        <w:tc>
          <w:tcPr>
            <w:tcW w:type="dxa" w:w="2268"/>
          </w:tcPr>
          <w:p>
            <w:pPr/>
            <w:r>
              <w:t>11.682 ± 10.536</w:t>
            </w:r>
          </w:p>
        </w:tc>
        <w:tc>
          <w:tcPr>
            <w:tcW w:type="dxa" w:w="2268"/>
          </w:tcPr>
          <w:p>
            <w:pPr/>
            <w:r>
              <w:t>11.962 ± 11.886</w:t>
            </w:r>
          </w:p>
        </w:tc>
        <w:tc>
          <w:tcPr>
            <w:tcW w:type="dxa" w:w="2268"/>
          </w:tcPr>
          <w:p>
            <w:pPr/>
            <w:r>
              <w:t>1.291 ± 1.112</w:t>
            </w:r>
          </w:p>
        </w:tc>
      </w:tr>
      <w:tr>
        <w:tc>
          <w:tcPr>
            <w:tcW w:type="dxa" w:w="2268"/>
          </w:tcPr>
          <w:p>
            <w:pPr/>
            <w:r>
              <w:t>MLP Bottleneck</w:t>
            </w:r>
          </w:p>
        </w:tc>
        <w:tc>
          <w:tcPr>
            <w:tcW w:type="dxa" w:w="2268"/>
          </w:tcPr>
          <w:p>
            <w:pPr/>
            <w:r>
              <w:t>11.844 ± 10.635</w:t>
            </w:r>
          </w:p>
        </w:tc>
        <w:tc>
          <w:tcPr>
            <w:tcW w:type="dxa" w:w="2268"/>
          </w:tcPr>
          <w:p>
            <w:pPr/>
            <w:r>
              <w:t>11.906 ± 11.449</w:t>
            </w:r>
          </w:p>
        </w:tc>
        <w:tc>
          <w:tcPr>
            <w:tcW w:type="dxa" w:w="2268"/>
          </w:tcPr>
          <w:p>
            <w:pPr/>
            <w:r>
              <w:t>1.351 ± 1.112</w:t>
            </w:r>
          </w:p>
        </w:tc>
      </w:tr>
      <w:tr>
        <w:tc>
          <w:tcPr>
            <w:tcW w:type="dxa" w:w="2268"/>
          </w:tcPr>
          <w:p>
            <w:pPr/>
            <w:r>
              <w:t>N-BEATS Interpretable</w:t>
            </w:r>
          </w:p>
        </w:tc>
        <w:tc>
          <w:tcPr>
            <w:tcW w:type="dxa" w:w="2268"/>
          </w:tcPr>
          <w:p>
            <w:pPr/>
            <w:r>
              <w:t>12.375 ± 11.445</w:t>
            </w:r>
          </w:p>
        </w:tc>
        <w:tc>
          <w:tcPr>
            <w:tcW w:type="dxa" w:w="2268"/>
          </w:tcPr>
          <w:p>
            <w:pPr/>
            <w:r>
              <w:t>12.328 ± 12.247</w:t>
            </w:r>
          </w:p>
        </w:tc>
        <w:tc>
          <w:tcPr>
            <w:tcW w:type="dxa" w:w="2268"/>
          </w:tcPr>
          <w:p>
            <w:pPr/>
            <w:r>
              <w:t>1.340 ± 1.087</w:t>
            </w:r>
          </w:p>
        </w:tc>
      </w:tr>
    </w:tbl>
    <w:p>
      <w:pPr>
        <w:pStyle w:val="Piedefoto-tabla"/>
      </w:pPr>
      <w:r>
        <w:t>Fuente: elaboración propia. sMAPE: estándar de la competición M4. MASE: error escalado respecto al Seasonal Naïve; valores &lt;1 indican superación del baseline.</w:t>
      </w:r>
    </w:p>
    <w:p>
      <w:pPr>
        <w:pStyle w:val="Caption"/>
      </w:pPr>
      <w:r>
        <w:t>Tabla 12b. Métricas de impacto económico (WAPE) y estabilidad temporal (CV-sMAPE). WAPE = error porcentual absoluto ponderado por volumen de serie.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Modelo</w:t>
            </w:r>
          </w:p>
        </w:tc>
        <w:tc>
          <w:tcPr>
            <w:tcW w:type="dxa" w:w="3024"/>
          </w:tcPr>
          <w:p>
            <w:pPr>
              <w:spacing w:before="60" w:after="60"/>
            </w:pPr>
            <w:r>
              <w:rPr>
                <w:b/>
              </w:rPr>
              <w:t>WAPE (%)</w:t>
            </w:r>
          </w:p>
        </w:tc>
        <w:tc>
          <w:tcPr>
            <w:tcW w:type="dxa" w:w="3024"/>
          </w:tcPr>
          <w:p>
            <w:pPr>
              <w:spacing w:before="60" w:after="60"/>
            </w:pPr>
            <w:r>
              <w:rPr>
                <w:b/>
              </w:rPr>
              <w:t>CV-sMAPE (%)</w:t>
            </w:r>
          </w:p>
        </w:tc>
      </w:tr>
      <w:tr>
        <w:tc>
          <w:tcPr>
            <w:tcW w:type="dxa" w:w="3024"/>
          </w:tcPr>
          <w:p>
            <w:pPr/>
            <w:r>
              <w:t>Seasonal Naïve</w:t>
            </w:r>
          </w:p>
        </w:tc>
        <w:tc>
          <w:tcPr>
            <w:tcW w:type="dxa" w:w="3024"/>
          </w:tcPr>
          <w:p>
            <w:pPr/>
            <w:r>
              <w:t>13.813 ± 14.744</w:t>
            </w:r>
          </w:p>
        </w:tc>
        <w:tc>
          <w:tcPr>
            <w:tcW w:type="dxa" w:w="3024"/>
          </w:tcPr>
          <w:p>
            <w:pPr/>
            <w:r>
              <w:t>92.6%</w:t>
            </w:r>
          </w:p>
        </w:tc>
      </w:tr>
      <w:tr>
        <w:tc>
          <w:tcPr>
            <w:tcW w:type="dxa" w:w="3024"/>
          </w:tcPr>
          <w:p>
            <w:pPr/>
            <w:r>
              <w:t>ETS (AutoETS)</w:t>
            </w:r>
          </w:p>
        </w:tc>
        <w:tc>
          <w:tcPr>
            <w:tcW w:type="dxa" w:w="3024"/>
          </w:tcPr>
          <w:p>
            <w:pPr/>
            <w:r>
              <w:t>10.081 ± 10.873</w:t>
            </w:r>
          </w:p>
        </w:tc>
        <w:tc>
          <w:tcPr>
            <w:tcW w:type="dxa" w:w="3024"/>
          </w:tcPr>
          <w:p>
            <w:pPr/>
            <w:r>
              <w:t>105.1%</w:t>
            </w:r>
          </w:p>
        </w:tc>
      </w:tr>
      <w:tr>
        <w:tc>
          <w:tcPr>
            <w:tcW w:type="dxa" w:w="3024"/>
          </w:tcPr>
          <w:p>
            <w:pPr/>
            <w:r>
              <w:t>Holt-Winters</w:t>
            </w:r>
          </w:p>
        </w:tc>
        <w:tc>
          <w:tcPr>
            <w:tcW w:type="dxa" w:w="3024"/>
          </w:tcPr>
          <w:p>
            <w:pPr/>
            <w:r>
              <w:t>11.583 ± 13.242</w:t>
            </w:r>
          </w:p>
        </w:tc>
        <w:tc>
          <w:tcPr>
            <w:tcW w:type="dxa" w:w="3024"/>
          </w:tcPr>
          <w:p>
            <w:pPr/>
            <w:r>
              <w:t>106.0%</w:t>
            </w:r>
          </w:p>
        </w:tc>
      </w:tr>
      <w:tr>
        <w:tc>
          <w:tcPr>
            <w:tcW w:type="dxa" w:w="3024"/>
          </w:tcPr>
          <w:p>
            <w:pPr/>
            <w:r>
              <w:t>SARIMA (AutoARIMA)</w:t>
            </w:r>
          </w:p>
        </w:tc>
        <w:tc>
          <w:tcPr>
            <w:tcW w:type="dxa" w:w="3024"/>
          </w:tcPr>
          <w:p>
            <w:pPr/>
            <w:r>
              <w:t>10.881 ± 12.203</w:t>
            </w:r>
          </w:p>
        </w:tc>
        <w:tc>
          <w:tcPr>
            <w:tcW w:type="dxa" w:w="3024"/>
          </w:tcPr>
          <w:p>
            <w:pPr/>
            <w:r>
              <w:t>113.3%</w:t>
            </w:r>
          </w:p>
        </w:tc>
      </w:tr>
      <w:tr>
        <w:tc>
          <w:tcPr>
            <w:tcW w:type="dxa" w:w="3024"/>
          </w:tcPr>
          <w:p>
            <w:pPr/>
            <w:r>
              <w:t>LightGBM</w:t>
            </w:r>
          </w:p>
        </w:tc>
        <w:tc>
          <w:tcPr>
            <w:tcW w:type="dxa" w:w="3024"/>
          </w:tcPr>
          <w:p>
            <w:pPr/>
            <w:r>
              <w:t>11.542 ± 10.559</w:t>
            </w:r>
          </w:p>
        </w:tc>
        <w:tc>
          <w:tcPr>
            <w:tcW w:type="dxa" w:w="3024"/>
          </w:tcPr>
          <w:p>
            <w:pPr/>
            <w:r>
              <w:t>90.2%</w:t>
            </w:r>
          </w:p>
        </w:tc>
      </w:tr>
      <w:tr>
        <w:tc>
          <w:tcPr>
            <w:tcW w:type="dxa" w:w="3024"/>
          </w:tcPr>
          <w:p>
            <w:pPr/>
            <w:r>
              <w:t>MLP Bottleneck</w:t>
            </w:r>
          </w:p>
        </w:tc>
        <w:tc>
          <w:tcPr>
            <w:tcW w:type="dxa" w:w="3024"/>
          </w:tcPr>
          <w:p>
            <w:pPr/>
            <w:r>
              <w:t>11.637 ± 10.561</w:t>
            </w:r>
          </w:p>
        </w:tc>
        <w:tc>
          <w:tcPr>
            <w:tcW w:type="dxa" w:w="3024"/>
          </w:tcPr>
          <w:p>
            <w:pPr/>
            <w:r>
              <w:t>89.8%</w:t>
            </w:r>
          </w:p>
        </w:tc>
      </w:tr>
      <w:tr>
        <w:tc>
          <w:tcPr>
            <w:tcW w:type="dxa" w:w="3024"/>
          </w:tcPr>
          <w:p>
            <w:pPr/>
            <w:r>
              <w:t>N-BEATS Interpretable</w:t>
            </w:r>
          </w:p>
        </w:tc>
        <w:tc>
          <w:tcPr>
            <w:tcW w:type="dxa" w:w="3024"/>
          </w:tcPr>
          <w:p>
            <w:pPr/>
            <w:r>
              <w:t>12.074 ± 11.429</w:t>
            </w:r>
          </w:p>
        </w:tc>
        <w:tc>
          <w:tcPr>
            <w:tcW w:type="dxa" w:w="3024"/>
          </w:tcPr>
          <w:p>
            <w:pPr/>
            <w:r>
              <w:t>92.5%</w:t>
            </w:r>
          </w:p>
        </w:tc>
      </w:tr>
      <w:tr>
        <w:tc>
          <w:tcPr>
            <w:tcW w:type="dxa" w:w="3024"/>
          </w:tcPr>
          <w:p>
            <w:pPr/>
            <w:r>
              <w:t>).</w:t>
            </w:r>
          </w:p>
        </w:tc>
        <w:tc>
          <w:tcPr>
            <w:tcW w:type="dxa" w:w="3024"/>
          </w:tcPr>
          <w:p/>
        </w:tc>
        <w:tc>
          <w:tcPr>
            <w:tcW w:type="dxa" w:w="3024"/>
          </w:tcPr>
          <w:p/>
        </w:tc>
      </w:tr>
    </w:tbl>
    <w:p>
      <w:pPr>
        <w:pStyle w:val="Piedefoto-tabla"/>
      </w:pPr>
      <w:r>
        <w:t>Fuente: elaboración propia. CV-sMAPE = σ(sMAPE) / μ(sMAPE) × 100, calculado sobre el conjunto completo de evaluaciones (folds × series) para cada modelo; no es un promedio por fold ni por serie, sino un indicador global de dispersión relativa. Criterio de estabilidad aspiracional: CVÂ &lt;Â 25Â % (TablaÂ 11); la elevada heterogeneidad del dataset M4 Financial genera valores típicamente muy superiores.</w:t>
      </w:r>
    </w:p>
    <w:p>
      <w:pPr/>
      <w:r>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w:t>
      </w:r>
    </w:p>
    <w:p>
      <w:pPr>
        <w:pStyle w:val="Heading2"/>
      </w:pPr>
      <w:r>
        <w:t>Análisis de estabilidad temporal</w:t>
      </w:r>
    </w:p>
    <w:p>
      <w:pPr/>
      <w:r>
        <w:t>La Figura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pPr>
        <w:pStyle w:val="Caption"/>
      </w:pPr>
      <w:r>
        <w:t>Figura 4. Estabilidad temporal del sMAPE por modelo y fold walk-forward (modelos estadísticos locales).</w:t>
      </w:r>
    </w:p>
    <w:p>
      <w:pPr>
        <w:pStyle w:val="Figuras"/>
        <w:jc w:val="center"/>
      </w:pPr>
      <w:r>
        <w:drawing>
          <wp:inline>
            <wp:extent cx="5220000" cy="2271268"/>
            <wp:docPr id="2" name="Picture 2"/>
            <wp:cNvGraphicFramePr>
              <a:graphicFrameLocks noChangeAspect="1"/>
            </wp:cNvGraphicFramePr>
            <a:graphic>
              <a:graphicData uri="http://schemas.openxmlformats.org/drawingml/2006/picture">
                <pic:pic>
                  <pic:nvPicPr>
                    <pic:cNvPr id="0" name="fig04_estabilidad_temporal.png"/>
                    <pic:cNvPicPr/>
                  </pic:nvPicPr>
                  <pic:blipFill>
                    <a:blip r:embed="rId21"/>
                    <a:stretch>
                      <a:fillRect/>
                    </a:stretch>
                  </pic:blipFill>
                  <pic:spPr>
                    <a:xfrm>
                      <a:off x="0" y="0"/>
                      <a:ext cx="5220000" cy="2271268"/>
                    </a:xfrm>
                    <a:prstGeom prst="rect"/>
                  </pic:spPr>
                </pic:pic>
              </a:graphicData>
            </a:graphic>
          </wp:inline>
        </w:drawing>
      </w:r>
    </w:p>
    <w:p>
      <w:pPr>
        <w:pStyle w:val="Piedefoto-tabla"/>
      </w:pPr>
      <w:r>
        <w:t>Fuente: elaboración propia. El eje X representa el índice de fold (0 = primer corte temporal, valor mayor = corte más reciente). El eje Y es el sMAPE promedio sobre las 200 series para ese fold.</w:t>
      </w:r>
    </w:p>
    <w:p>
      <w:pPr/>
      <w:r>
        <w:t>La Tabla resume los criterios de éxito predefinidos con los valores reales obtenidos.</w:t>
      </w:r>
    </w:p>
    <w:p>
      <w:pPr>
        <w:pStyle w:val="Caption"/>
      </w:pPr>
      <w:r>
        <w:t>Tabla 13. Evaluación frente a los criterios de éxito predefinidos en la TablaÂ 11. Referencia sMAPE Seasonal Naïve: 13,667% (resultado experimental).</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60" w:after="60"/>
            </w:pPr>
            <w:r>
              <w:rPr>
                <w:b/>
              </w:rPr>
              <w:t>Modelo</w:t>
            </w:r>
          </w:p>
        </w:tc>
        <w:tc>
          <w:tcPr>
            <w:tcW w:type="dxa" w:w="1296"/>
          </w:tcPr>
          <w:p>
            <w:pPr>
              <w:spacing w:before="60" w:after="60"/>
            </w:pPr>
            <w:r>
              <w:rPr>
                <w:b/>
              </w:rPr>
              <w:t>sMAPE (%)</w:t>
            </w:r>
          </w:p>
        </w:tc>
        <w:tc>
          <w:tcPr>
            <w:tcW w:type="dxa" w:w="1296"/>
          </w:tcPr>
          <w:p>
            <w:pPr>
              <w:spacing w:before="60" w:after="60"/>
            </w:pPr>
            <w:r>
              <w:rPr>
                <w:b/>
              </w:rPr>
              <w:t>Δ (pp)</w:t>
            </w:r>
          </w:p>
        </w:tc>
        <w:tc>
          <w:tcPr>
            <w:tcW w:type="dxa" w:w="1296"/>
          </w:tcPr>
          <w:p>
            <w:pPr>
              <w:spacing w:before="60" w:after="60"/>
            </w:pPr>
            <w:r>
              <w:rPr>
                <w:b/>
              </w:rPr>
              <w:t>MASE</w:t>
            </w:r>
          </w:p>
        </w:tc>
        <w:tc>
          <w:tcPr>
            <w:tcW w:type="dxa" w:w="1296"/>
          </w:tcPr>
          <w:p>
            <w:pPr>
              <w:spacing w:before="60" w:after="60"/>
            </w:pPr>
            <w:r>
              <w:rPr>
                <w:b/>
              </w:rPr>
              <w:t>CV-sMAPE</w:t>
            </w:r>
          </w:p>
        </w:tc>
        <w:tc>
          <w:tcPr>
            <w:tcW w:type="dxa" w:w="1296"/>
          </w:tcPr>
          <w:p>
            <w:pPr>
              <w:spacing w:before="60" w:after="60"/>
            </w:pPr>
            <w:r>
              <w:rPr>
                <w:b/>
              </w:rPr>
              <w:t>Supera baseline</w:t>
            </w:r>
          </w:p>
        </w:tc>
        <w:tc>
          <w:tcPr>
            <w:tcW w:type="dxa" w:w="1296"/>
          </w:tcPr>
          <w:p>
            <w:pPr>
              <w:spacing w:before="60" w:after="60"/>
            </w:pPr>
            <w:r>
              <w:rPr>
                <w:b/>
              </w:rPr>
              <w:t>Estable</w:t>
            </w:r>
          </w:p>
        </w:tc>
      </w:tr>
      <w:tr>
        <w:tc>
          <w:tcPr>
            <w:tcW w:type="dxa" w:w="1296"/>
          </w:tcPr>
          <w:p>
            <w:pPr/>
            <w:r>
              <w:t>Seasonal Naïve</w:t>
            </w:r>
          </w:p>
        </w:tc>
        <w:tc>
          <w:tcPr>
            <w:tcW w:type="dxa" w:w="1296"/>
          </w:tcPr>
          <w:p>
            <w:pPr/>
            <w:r>
              <w:t>13.667</w:t>
            </w:r>
          </w:p>
        </w:tc>
        <w:tc>
          <w:tcPr>
            <w:tcW w:type="dxa" w:w="1296"/>
          </w:tcPr>
          <w:p>
            <w:pPr/>
            <w:r>
              <w:t>+0.000</w:t>
            </w:r>
          </w:p>
        </w:tc>
        <w:tc>
          <w:tcPr>
            <w:tcW w:type="dxa" w:w="1296"/>
          </w:tcPr>
          <w:p>
            <w:pPr/>
            <w:r>
              <w:t>1.412</w:t>
            </w:r>
          </w:p>
        </w:tc>
        <w:tc>
          <w:tcPr>
            <w:tcW w:type="dxa" w:w="1296"/>
          </w:tcPr>
          <w:p>
            <w:pPr/>
            <w:r>
              <w:t>92.6%</w:t>
            </w:r>
          </w:p>
        </w:tc>
        <w:tc>
          <w:tcPr>
            <w:tcW w:type="dxa" w:w="1296"/>
          </w:tcPr>
          <w:p>
            <w:pPr/>
            <w:r>
              <w:t>No (referencia)</w:t>
            </w:r>
          </w:p>
        </w:tc>
        <w:tc>
          <w:tcPr>
            <w:tcW w:type="dxa" w:w="1296"/>
          </w:tcPr>
          <w:p>
            <w:pPr/>
            <w:r>
              <w:t>No</w:t>
            </w:r>
          </w:p>
        </w:tc>
      </w:tr>
      <w:tr>
        <w:tc>
          <w:tcPr>
            <w:tcW w:type="dxa" w:w="1296"/>
          </w:tcPr>
          <w:p>
            <w:pPr/>
            <w:r>
              <w:t>ETS (AutoETS)</w:t>
            </w:r>
          </w:p>
        </w:tc>
        <w:tc>
          <w:tcPr>
            <w:tcW w:type="dxa" w:w="1296"/>
          </w:tcPr>
          <w:p>
            <w:pPr/>
            <w:r>
              <w:t>10.005</w:t>
            </w:r>
          </w:p>
        </w:tc>
        <w:tc>
          <w:tcPr>
            <w:tcW w:type="dxa" w:w="1296"/>
          </w:tcPr>
          <w:p>
            <w:pPr/>
            <w:r>
              <w:t>+3.662</w:t>
            </w:r>
          </w:p>
        </w:tc>
        <w:tc>
          <w:tcPr>
            <w:tcW w:type="dxa" w:w="1296"/>
          </w:tcPr>
          <w:p>
            <w:pPr/>
            <w:r>
              <w:t>1.017</w:t>
            </w:r>
          </w:p>
        </w:tc>
        <w:tc>
          <w:tcPr>
            <w:tcW w:type="dxa" w:w="1296"/>
          </w:tcPr>
          <w:p>
            <w:pPr/>
            <w:r>
              <w:t>105.1%</w:t>
            </w:r>
          </w:p>
        </w:tc>
        <w:tc>
          <w:tcPr>
            <w:tcW w:type="dxa" w:w="1296"/>
          </w:tcPr>
          <w:p>
            <w:pPr/>
            <w:r>
              <w:t>Sí (≥ 1 pp)</w:t>
            </w:r>
          </w:p>
        </w:tc>
        <w:tc>
          <w:tcPr>
            <w:tcW w:type="dxa" w:w="1296"/>
          </w:tcPr>
          <w:p>
            <w:pPr/>
            <w:r>
              <w:t>No</w:t>
            </w:r>
          </w:p>
        </w:tc>
      </w:tr>
      <w:tr>
        <w:tc>
          <w:tcPr>
            <w:tcW w:type="dxa" w:w="1296"/>
          </w:tcPr>
          <w:p>
            <w:pPr/>
            <w:r>
              <w:t>Holt-Winters</w:t>
            </w:r>
          </w:p>
        </w:tc>
        <w:tc>
          <w:tcPr>
            <w:tcW w:type="dxa" w:w="1296"/>
          </w:tcPr>
          <w:p>
            <w:pPr/>
            <w:r>
              <w:t>11.157</w:t>
            </w:r>
          </w:p>
        </w:tc>
        <w:tc>
          <w:tcPr>
            <w:tcW w:type="dxa" w:w="1296"/>
          </w:tcPr>
          <w:p>
            <w:pPr/>
            <w:r>
              <w:t>+2.510</w:t>
            </w:r>
          </w:p>
        </w:tc>
        <w:tc>
          <w:tcPr>
            <w:tcW w:type="dxa" w:w="1296"/>
          </w:tcPr>
          <w:p>
            <w:pPr/>
            <w:r>
              <w:t>1.145</w:t>
            </w:r>
          </w:p>
        </w:tc>
        <w:tc>
          <w:tcPr>
            <w:tcW w:type="dxa" w:w="1296"/>
          </w:tcPr>
          <w:p>
            <w:pPr/>
            <w:r>
              <w:t>106.0%</w:t>
            </w:r>
          </w:p>
        </w:tc>
        <w:tc>
          <w:tcPr>
            <w:tcW w:type="dxa" w:w="1296"/>
          </w:tcPr>
          <w:p>
            <w:pPr/>
            <w:r>
              <w:t>Sí (≥ 1 pp)</w:t>
            </w:r>
          </w:p>
        </w:tc>
        <w:tc>
          <w:tcPr>
            <w:tcW w:type="dxa" w:w="1296"/>
          </w:tcPr>
          <w:p>
            <w:pPr/>
            <w:r>
              <w:t>No</w:t>
            </w:r>
          </w:p>
        </w:tc>
      </w:tr>
      <w:tr>
        <w:tc>
          <w:tcPr>
            <w:tcW w:type="dxa" w:w="1296"/>
          </w:tcPr>
          <w:p>
            <w:pPr/>
            <w:r>
              <w:t>SARIMA (AutoARIMA)</w:t>
            </w:r>
          </w:p>
        </w:tc>
        <w:tc>
          <w:tcPr>
            <w:tcW w:type="dxa" w:w="1296"/>
          </w:tcPr>
          <w:p>
            <w:pPr/>
            <w:r>
              <w:t>10.825</w:t>
            </w:r>
          </w:p>
        </w:tc>
        <w:tc>
          <w:tcPr>
            <w:tcW w:type="dxa" w:w="1296"/>
          </w:tcPr>
          <w:p>
            <w:pPr/>
            <w:r>
              <w:t>+2.842</w:t>
            </w:r>
          </w:p>
        </w:tc>
        <w:tc>
          <w:tcPr>
            <w:tcW w:type="dxa" w:w="1296"/>
          </w:tcPr>
          <w:p>
            <w:pPr/>
            <w:r>
              <w:t>1.093</w:t>
            </w:r>
          </w:p>
        </w:tc>
        <w:tc>
          <w:tcPr>
            <w:tcW w:type="dxa" w:w="1296"/>
          </w:tcPr>
          <w:p>
            <w:pPr/>
            <w:r>
              <w:t>113.3%</w:t>
            </w:r>
          </w:p>
        </w:tc>
        <w:tc>
          <w:tcPr>
            <w:tcW w:type="dxa" w:w="1296"/>
          </w:tcPr>
          <w:p>
            <w:pPr/>
            <w:r>
              <w:t>Sí (≥ 1 pp)</w:t>
            </w:r>
          </w:p>
        </w:tc>
        <w:tc>
          <w:tcPr>
            <w:tcW w:type="dxa" w:w="1296"/>
          </w:tcPr>
          <w:p>
            <w:pPr/>
            <w:r>
              <w:t>No</w:t>
            </w:r>
          </w:p>
        </w:tc>
      </w:tr>
      <w:tr>
        <w:tc>
          <w:tcPr>
            <w:tcW w:type="dxa" w:w="1296"/>
          </w:tcPr>
          <w:p>
            <w:pPr/>
            <w:r>
              <w:t>LightGBM</w:t>
            </w:r>
          </w:p>
        </w:tc>
        <w:tc>
          <w:tcPr>
            <w:tcW w:type="dxa" w:w="1296"/>
          </w:tcPr>
          <w:p>
            <w:pPr/>
            <w:r>
              <w:t>11.682</w:t>
            </w:r>
          </w:p>
        </w:tc>
        <w:tc>
          <w:tcPr>
            <w:tcW w:type="dxa" w:w="1296"/>
          </w:tcPr>
          <w:p>
            <w:pPr/>
            <w:r>
              <w:t>+1.985</w:t>
            </w:r>
          </w:p>
        </w:tc>
        <w:tc>
          <w:tcPr>
            <w:tcW w:type="dxa" w:w="1296"/>
          </w:tcPr>
          <w:p>
            <w:pPr/>
            <w:r>
              <w:t>1.291</w:t>
            </w:r>
          </w:p>
        </w:tc>
        <w:tc>
          <w:tcPr>
            <w:tcW w:type="dxa" w:w="1296"/>
          </w:tcPr>
          <w:p>
            <w:pPr/>
            <w:r>
              <w:t>90.2%</w:t>
            </w:r>
          </w:p>
        </w:tc>
        <w:tc>
          <w:tcPr>
            <w:tcW w:type="dxa" w:w="1296"/>
          </w:tcPr>
          <w:p>
            <w:pPr/>
            <w:r>
              <w:t>Sí (≥ 1 pp)</w:t>
            </w:r>
          </w:p>
        </w:tc>
        <w:tc>
          <w:tcPr>
            <w:tcW w:type="dxa" w:w="1296"/>
          </w:tcPr>
          <w:p>
            <w:pPr/>
            <w:r>
              <w:t>No</w:t>
            </w:r>
          </w:p>
        </w:tc>
      </w:tr>
      <w:tr>
        <w:tc>
          <w:tcPr>
            <w:tcW w:type="dxa" w:w="1296"/>
          </w:tcPr>
          <w:p>
            <w:pPr/>
            <w:r>
              <w:t>MLP Bottleneck</w:t>
            </w:r>
          </w:p>
        </w:tc>
        <w:tc>
          <w:tcPr>
            <w:tcW w:type="dxa" w:w="1296"/>
          </w:tcPr>
          <w:p>
            <w:pPr/>
            <w:r>
              <w:t>11.844</w:t>
            </w:r>
          </w:p>
        </w:tc>
        <w:tc>
          <w:tcPr>
            <w:tcW w:type="dxa" w:w="1296"/>
          </w:tcPr>
          <w:p>
            <w:pPr/>
            <w:r>
              <w:t>+1.823</w:t>
            </w:r>
          </w:p>
        </w:tc>
        <w:tc>
          <w:tcPr>
            <w:tcW w:type="dxa" w:w="1296"/>
          </w:tcPr>
          <w:p>
            <w:pPr/>
            <w:r>
              <w:t>1.351</w:t>
            </w:r>
          </w:p>
        </w:tc>
        <w:tc>
          <w:tcPr>
            <w:tcW w:type="dxa" w:w="1296"/>
          </w:tcPr>
          <w:p>
            <w:pPr/>
            <w:r>
              <w:t>89.8%</w:t>
            </w:r>
          </w:p>
        </w:tc>
        <w:tc>
          <w:tcPr>
            <w:tcW w:type="dxa" w:w="1296"/>
          </w:tcPr>
          <w:p>
            <w:pPr/>
            <w:r>
              <w:t>Sí (≥ 1 pp)</w:t>
            </w:r>
          </w:p>
        </w:tc>
        <w:tc>
          <w:tcPr>
            <w:tcW w:type="dxa" w:w="1296"/>
          </w:tcPr>
          <w:p>
            <w:pPr/>
            <w:r>
              <w:t>No</w:t>
            </w:r>
          </w:p>
        </w:tc>
      </w:tr>
      <w:tr>
        <w:tc>
          <w:tcPr>
            <w:tcW w:type="dxa" w:w="1296"/>
          </w:tcPr>
          <w:p>
            <w:pPr/>
            <w:r>
              <w:t>N-BEATS Interpretable</w:t>
            </w:r>
          </w:p>
        </w:tc>
        <w:tc>
          <w:tcPr>
            <w:tcW w:type="dxa" w:w="1296"/>
          </w:tcPr>
          <w:p>
            <w:pPr/>
            <w:r>
              <w:t>12.375</w:t>
            </w:r>
          </w:p>
        </w:tc>
        <w:tc>
          <w:tcPr>
            <w:tcW w:type="dxa" w:w="1296"/>
          </w:tcPr>
          <w:p>
            <w:pPr/>
            <w:r>
              <w:t>+1.292</w:t>
            </w:r>
          </w:p>
        </w:tc>
        <w:tc>
          <w:tcPr>
            <w:tcW w:type="dxa" w:w="1296"/>
          </w:tcPr>
          <w:p>
            <w:pPr/>
            <w:r>
              <w:t>1.340</w:t>
            </w:r>
          </w:p>
        </w:tc>
        <w:tc>
          <w:tcPr>
            <w:tcW w:type="dxa" w:w="1296"/>
          </w:tcPr>
          <w:p>
            <w:pPr/>
            <w:r>
              <w:t>92.5%</w:t>
            </w:r>
          </w:p>
        </w:tc>
        <w:tc>
          <w:tcPr>
            <w:tcW w:type="dxa" w:w="1296"/>
          </w:tcPr>
          <w:p>
            <w:pPr/>
            <w:r>
              <w:t>Sí (≥ 1 pp)</w:t>
            </w:r>
          </w:p>
        </w:tc>
        <w:tc>
          <w:tcPr>
            <w:tcW w:type="dxa" w:w="1296"/>
          </w:tcPr>
          <w:p>
            <w:pPr/>
            <w:r>
              <w:t>No</w:t>
            </w:r>
          </w:p>
        </w:tc>
      </w:tr>
    </w:tbl>
    <w:p>
      <w:pPr>
        <w:pStyle w:val="Piedefoto-tabla"/>
      </w:pPr>
      <w:r>
        <w:t>Fuente: elaboración propia. Δ = sMAPE(SNaive) − sMAPE(modelo), en puntos porcentuales; valores positivos indican mejora sobre el baseline. CV = σ(sMAPE) / μ(sMAPE) × 100, calculado sobre el conjunto folds × series.</w:t>
      </w:r>
    </w:p>
    <w:p>
      <w:pPr/>
      <w:r>
        <w:t xml:space="preserve">Con el fin de corroborar estadísticamente la superioridad observada en la Tabla 13, se aplicó un test de bootstrap percentil (Efron &amp; Tibshirani, 1993) sobre las diferencias pareadas por serie entre cada modelo y el baseline Seasonal Naïve. La unidad de remuestreo es la serie (N = 200), con B = 1 000 remuestras y nivel de significación α = 0,05 (bilateral). La Tabla 14 presenta las diferencias medias en sMAPE y los intervalos de confianza al 95 %.</w:t>
      </w:r>
    </w:p>
    <w:p>
      <w:pPr>
        <w:pStyle w:val="Titulo"/>
      </w:pPr>
      <w:r>
        <w:t>Tabla 14. Intervalos de confianza bootstrap al 95 % para la diferencia de sMAPE respecto al Seasonal Naïve.</w:t>
      </w:r>
    </w:p>
    <w:tbl>
      <w:tblPr>
        <w:tblStyle w:val="TableGrid"/>
        <w:tblW w:type="auto" w:w="0"/>
        <w:tblLayout w:type="autofit"/>
        <w:tblLook w:firstColumn="1" w:firstRow="1" w:lastColumn="0" w:lastRow="0" w:noHBand="0" w:noVBand="1" w:val="04A0"/>
      </w:tblPr>
      <w:tblGrid>
        <w:gridCol w:w="1800"/>
        <w:gridCol w:w="1818"/>
        <w:gridCol w:w="1818"/>
        <w:gridCol w:w="1818"/>
        <w:gridCol w:w="1818"/>
      </w:tblGrid>
      <w:tr>
        <w:tc>
          <w:tcPr>
            <w:tcW w:type="dxa" w:w="1800"/>
          </w:tcPr>
          <w:p>
            <w:pPr>
              <w:spacing w:before="60" w:after="60"/>
            </w:pPr>
            <w:r>
              <w:rPr>
                <w:b/>
              </w:rPr>
              <w:t>Modelo</w:t>
            </w:r>
          </w:p>
        </w:tc>
        <w:tc>
          <w:tcPr>
            <w:tcW w:type="dxa" w:w="1818"/>
          </w:tcPr>
          <w:p>
            <w:pPr>
              <w:spacing w:before="60" w:after="60"/>
            </w:pPr>
            <w:r>
              <w:rPr>
                <w:b/>
              </w:rPr>
              <w:t>Diferencia media (pp)</w:t>
            </w:r>
          </w:p>
        </w:tc>
        <w:tc>
          <w:tcPr>
            <w:tcW w:type="dxa" w:w="1818"/>
          </w:tcPr>
          <w:p>
            <w:pPr>
              <w:spacing w:before="60" w:after="60"/>
            </w:pPr>
            <w:r>
              <w:rPr>
                <w:b/>
              </w:rPr>
              <w:t>IC 95 % inferior</w:t>
            </w:r>
          </w:p>
        </w:tc>
        <w:tc>
          <w:tcPr>
            <w:tcW w:type="dxa" w:w="1818"/>
          </w:tcPr>
          <w:p>
            <w:pPr>
              <w:spacing w:before="60" w:after="60"/>
            </w:pPr>
            <w:r>
              <w:rPr>
                <w:b/>
              </w:rPr>
              <w:t>IC 95 % superior</w:t>
            </w:r>
          </w:p>
        </w:tc>
        <w:tc>
          <w:tcPr>
            <w:tcW w:type="dxa" w:w="1818"/>
          </w:tcPr>
          <w:p>
            <w:pPr>
              <w:spacing w:before="60" w:after="60"/>
            </w:pPr>
            <w:r>
              <w:rPr>
                <w:b/>
              </w:rPr>
              <w:t>Significativo (α = 0,05)</w:t>
            </w:r>
          </w:p>
        </w:tc>
      </w:tr>
      <w:tr>
        <w:tc>
          <w:tcPr>
            <w:tcW w:type="dxa" w:w="1800"/>
          </w:tcPr>
          <w:p>
            <w:pPr>
              <w:spacing w:before="60" w:after="60"/>
            </w:pPr>
            <w:r>
              <w:rPr/>
              <w:t>SNaive</w:t>
            </w:r>
          </w:p>
        </w:tc>
        <w:tc>
          <w:tcPr>
            <w:tcW w:type="dxa" w:w="1818"/>
          </w:tcPr>
          <w:p>
            <w:pPr>
              <w:spacing w:before="60" w:after="60"/>
            </w:pPr>
            <w:r>
              <w:rPr/>
              <w:t>0,000</w:t>
            </w:r>
          </w:p>
        </w:tc>
        <w:tc>
          <w:tcPr>
            <w:tcW w:type="dxa" w:w="1818"/>
          </w:tcPr>
          <w:p>
            <w:pPr>
              <w:spacing w:before="60" w:after="60"/>
            </w:pPr>
            <w:r>
              <w:rPr/>
              <w:t>—</w:t>
            </w:r>
          </w:p>
        </w:tc>
        <w:tc>
          <w:tcPr>
            <w:tcW w:type="dxa" w:w="1818"/>
          </w:tcPr>
          <w:p>
            <w:pPr>
              <w:spacing w:before="60" w:after="60"/>
            </w:pPr>
            <w:r>
              <w:rPr/>
              <w:t>—</w:t>
            </w:r>
          </w:p>
        </w:tc>
        <w:tc>
          <w:tcPr>
            <w:tcW w:type="dxa" w:w="1818"/>
          </w:tcPr>
          <w:p>
            <w:pPr>
              <w:spacing w:before="60" w:after="60"/>
            </w:pPr>
            <w:r>
              <w:rPr/>
              <w:t>Referencia</w:t>
            </w:r>
          </w:p>
        </w:tc>
      </w:tr>
      <w:tr>
        <w:tc>
          <w:tcPr>
            <w:tcW w:type="dxa" w:w="1800"/>
          </w:tcPr>
          <w:p>
            <w:pPr>
              <w:spacing w:before="60" w:after="60"/>
            </w:pPr>
            <w:r>
              <w:rPr/>
              <w:t>ETS</w:t>
            </w:r>
          </w:p>
        </w:tc>
        <w:tc>
          <w:tcPr>
            <w:tcW w:type="dxa" w:w="1818"/>
          </w:tcPr>
          <w:p>
            <w:pPr>
              <w:spacing w:before="60" w:after="60"/>
            </w:pPr>
            <w:r>
              <w:rPr/>
              <w:t>−3,852</w:t>
            </w:r>
          </w:p>
        </w:tc>
        <w:tc>
          <w:tcPr>
            <w:tcW w:type="dxa" w:w="1818"/>
          </w:tcPr>
          <w:p>
            <w:pPr>
              <w:spacing w:before="60" w:after="60"/>
            </w:pPr>
            <w:r>
              <w:rPr/>
              <w:t>−4,517</w:t>
            </w:r>
          </w:p>
        </w:tc>
        <w:tc>
          <w:tcPr>
            <w:tcW w:type="dxa" w:w="1818"/>
          </w:tcPr>
          <w:p>
            <w:pPr>
              <w:spacing w:before="60" w:after="60"/>
            </w:pPr>
            <w:r>
              <w:rPr/>
              <w:t>−3,264</w:t>
            </w:r>
          </w:p>
        </w:tc>
        <w:tc>
          <w:tcPr>
            <w:tcW w:type="dxa" w:w="1818"/>
          </w:tcPr>
          <w:p>
            <w:pPr>
              <w:spacing w:before="60" w:after="60"/>
            </w:pPr>
            <w:r>
              <w:rPr/>
              <w:t>Sí</w:t>
            </w:r>
          </w:p>
        </w:tc>
      </w:tr>
      <w:tr>
        <w:tc>
          <w:tcPr>
            <w:tcW w:type="dxa" w:w="1800"/>
          </w:tcPr>
          <w:p>
            <w:pPr>
              <w:spacing w:before="60" w:after="60"/>
            </w:pPr>
            <w:r>
              <w:rPr/>
              <w:t>Holt-Winters</w:t>
            </w:r>
          </w:p>
        </w:tc>
        <w:tc>
          <w:tcPr>
            <w:tcW w:type="dxa" w:w="1818"/>
          </w:tcPr>
          <w:p>
            <w:pPr>
              <w:spacing w:before="60" w:after="60"/>
            </w:pPr>
            <w:r>
              <w:rPr/>
              <w:t>−2,725</w:t>
            </w:r>
          </w:p>
        </w:tc>
        <w:tc>
          <w:tcPr>
            <w:tcW w:type="dxa" w:w="1818"/>
          </w:tcPr>
          <w:p>
            <w:pPr>
              <w:spacing w:before="60" w:after="60"/>
            </w:pPr>
            <w:r>
              <w:rPr/>
              <w:t>−3,515</w:t>
            </w:r>
          </w:p>
        </w:tc>
        <w:tc>
          <w:tcPr>
            <w:tcW w:type="dxa" w:w="1818"/>
          </w:tcPr>
          <w:p>
            <w:pPr>
              <w:spacing w:before="60" w:after="60"/>
            </w:pPr>
            <w:r>
              <w:rPr/>
              <w:t>−2,028</w:t>
            </w:r>
          </w:p>
        </w:tc>
        <w:tc>
          <w:tcPr>
            <w:tcW w:type="dxa" w:w="1818"/>
          </w:tcPr>
          <w:p>
            <w:pPr>
              <w:spacing w:before="60" w:after="60"/>
            </w:pPr>
            <w:r>
              <w:rPr/>
              <w:t>Sí</w:t>
            </w:r>
          </w:p>
        </w:tc>
      </w:tr>
      <w:tr>
        <w:tc>
          <w:tcPr>
            <w:tcW w:type="dxa" w:w="1800"/>
          </w:tcPr>
          <w:p>
            <w:pPr>
              <w:spacing w:before="60" w:after="60"/>
            </w:pPr>
            <w:r>
              <w:rPr/>
              <w:t>SARIMA</w:t>
            </w:r>
          </w:p>
        </w:tc>
        <w:tc>
          <w:tcPr>
            <w:tcW w:type="dxa" w:w="1818"/>
          </w:tcPr>
          <w:p>
            <w:pPr>
              <w:spacing w:before="60" w:after="60"/>
            </w:pPr>
            <w:r>
              <w:rPr/>
              <w:t>−3,154</w:t>
            </w:r>
          </w:p>
        </w:tc>
        <w:tc>
          <w:tcPr>
            <w:tcW w:type="dxa" w:w="1818"/>
          </w:tcPr>
          <w:p>
            <w:pPr>
              <w:spacing w:before="60" w:after="60"/>
            </w:pPr>
            <w:r>
              <w:rPr/>
              <w:t>−3,945</w:t>
            </w:r>
          </w:p>
        </w:tc>
        <w:tc>
          <w:tcPr>
            <w:tcW w:type="dxa" w:w="1818"/>
          </w:tcPr>
          <w:p>
            <w:pPr>
              <w:spacing w:before="60" w:after="60"/>
            </w:pPr>
            <w:r>
              <w:rPr/>
              <w:t>−2,481</w:t>
            </w:r>
          </w:p>
        </w:tc>
        <w:tc>
          <w:tcPr>
            <w:tcW w:type="dxa" w:w="1818"/>
          </w:tcPr>
          <w:p>
            <w:pPr>
              <w:spacing w:before="60" w:after="60"/>
            </w:pPr>
            <w:r>
              <w:rPr/>
              <w:t>Sí</w:t>
            </w:r>
          </w:p>
        </w:tc>
      </w:tr>
      <w:tr>
        <w:tc>
          <w:tcPr>
            <w:tcW w:type="dxa" w:w="1800"/>
          </w:tcPr>
          <w:p>
            <w:pPr>
              <w:spacing w:before="60" w:after="60"/>
            </w:pPr>
            <w:r>
              <w:rPr/>
              <w:t>LightGBM</w:t>
            </w:r>
          </w:p>
        </w:tc>
        <w:tc>
          <w:tcPr>
            <w:tcW w:type="dxa" w:w="1818"/>
          </w:tcPr>
          <w:p>
            <w:pPr>
              <w:spacing w:before="60" w:after="60"/>
            </w:pPr>
            <w:r>
              <w:rPr/>
              <w:t>−1,998</w:t>
            </w:r>
          </w:p>
        </w:tc>
        <w:tc>
          <w:tcPr>
            <w:tcW w:type="dxa" w:w="1818"/>
          </w:tcPr>
          <w:p>
            <w:pPr>
              <w:spacing w:before="60" w:after="60"/>
            </w:pPr>
            <w:r>
              <w:rPr/>
              <w:t>−2,572</w:t>
            </w:r>
          </w:p>
        </w:tc>
        <w:tc>
          <w:tcPr>
            <w:tcW w:type="dxa" w:w="1818"/>
          </w:tcPr>
          <w:p>
            <w:pPr>
              <w:spacing w:before="60" w:after="60"/>
            </w:pPr>
            <w:r>
              <w:rPr/>
              <w:t>−1,447</w:t>
            </w:r>
          </w:p>
        </w:tc>
        <w:tc>
          <w:tcPr>
            <w:tcW w:type="dxa" w:w="1818"/>
          </w:tcPr>
          <w:p>
            <w:pPr>
              <w:spacing w:before="60" w:after="60"/>
            </w:pPr>
            <w:r>
              <w:rPr/>
              <w:t>Sí</w:t>
            </w:r>
          </w:p>
        </w:tc>
      </w:tr>
      <w:tr>
        <w:tc>
          <w:tcPr>
            <w:tcW w:type="dxa" w:w="1800"/>
          </w:tcPr>
          <w:p>
            <w:pPr>
              <w:spacing w:before="60" w:after="60"/>
            </w:pPr>
            <w:r>
              <w:rPr/>
              <w:t>MLP</w:t>
            </w:r>
          </w:p>
        </w:tc>
        <w:tc>
          <w:tcPr>
            <w:tcW w:type="dxa" w:w="1818"/>
          </w:tcPr>
          <w:p>
            <w:pPr>
              <w:spacing w:before="60" w:after="60"/>
            </w:pPr>
            <w:r>
              <w:rPr/>
              <w:t>−1,898</w:t>
            </w:r>
          </w:p>
        </w:tc>
        <w:tc>
          <w:tcPr>
            <w:tcW w:type="dxa" w:w="1818"/>
          </w:tcPr>
          <w:p>
            <w:pPr>
              <w:spacing w:before="60" w:after="60"/>
            </w:pPr>
            <w:r>
              <w:rPr/>
              <w:t>−2,453</w:t>
            </w:r>
          </w:p>
        </w:tc>
        <w:tc>
          <w:tcPr>
            <w:tcW w:type="dxa" w:w="1818"/>
          </w:tcPr>
          <w:p>
            <w:pPr>
              <w:spacing w:before="60" w:after="60"/>
            </w:pPr>
            <w:r>
              <w:rPr/>
              <w:t>−1,322</w:t>
            </w:r>
          </w:p>
        </w:tc>
        <w:tc>
          <w:tcPr>
            <w:tcW w:type="dxa" w:w="1818"/>
          </w:tcPr>
          <w:p>
            <w:pPr>
              <w:spacing w:before="60" w:after="60"/>
            </w:pPr>
            <w:r>
              <w:rPr/>
              <w:t>Sí</w:t>
            </w:r>
          </w:p>
        </w:tc>
      </w:tr>
      <w:tr>
        <w:tc>
          <w:tcPr>
            <w:tcW w:type="dxa" w:w="1800"/>
          </w:tcPr>
          <w:p>
            <w:pPr>
              <w:spacing w:before="60" w:after="60"/>
            </w:pPr>
            <w:r>
              <w:rPr/>
              <w:t>NBEATS</w:t>
            </w:r>
          </w:p>
        </w:tc>
        <w:tc>
          <w:tcPr>
            <w:tcW w:type="dxa" w:w="1818"/>
          </w:tcPr>
          <w:p>
            <w:pPr>
              <w:spacing w:before="60" w:after="60"/>
            </w:pPr>
            <w:r>
              <w:rPr/>
              <w:t>−1,065</w:t>
            </w:r>
          </w:p>
        </w:tc>
        <w:tc>
          <w:tcPr>
            <w:tcW w:type="dxa" w:w="1818"/>
          </w:tcPr>
          <w:p>
            <w:pPr>
              <w:spacing w:before="60" w:after="60"/>
            </w:pPr>
            <w:r>
              <w:rPr/>
              <w:t>−1,509</w:t>
            </w:r>
          </w:p>
        </w:tc>
        <w:tc>
          <w:tcPr>
            <w:tcW w:type="dxa" w:w="1818"/>
          </w:tcPr>
          <w:p>
            <w:pPr>
              <w:spacing w:before="60" w:after="60"/>
            </w:pPr>
            <w:r>
              <w:rPr/>
              <w:t>−0,596</w:t>
            </w:r>
          </w:p>
        </w:tc>
        <w:tc>
          <w:tcPr>
            <w:tcW w:type="dxa" w:w="1818"/>
          </w:tcPr>
          <w:p>
            <w:pPr>
              <w:spacing w:before="60" w:after="60"/>
            </w:pPr>
            <w:r>
              <w:rPr/>
              <w:t>Sí</w:t>
            </w:r>
          </w:p>
        </w:tc>
      </w:tr>
    </w:tbl>
    <w:p>
      <w:pPr/>
      <w:r>
        <w:t xml:space="preserve">Fuente: elaboración propia. Método: percentil bootstrap (Efron &amp; Tibshirani, 1993). N = 200 series, B = 1 000 remuestras, α = 0,05 (bilateral), SEED = 42. Diferencia = sMAPE(modelo) − sMAPE(SNaive); valores negativos indican mejora sobre el baseline. El IC no contiene el cero en los seis modelos evaluados frente a SNaive.</w:t>
      </w:r>
    </w:p>
    <w:p>
      <w:pPr/>
      <w:r>
        <w:t xml:space="preserve">La Tabla 15 sintetiza el modelo con mejor rendimiento para cada una de las seis métricas de la comparativa, identificando al ganador global del experimento.</w:t>
      </w:r>
    </w:p>
    <w:p>
      <w:pPr>
        <w:pStyle w:val="Titulo"/>
      </w:pPr>
      <w:r>
        <w:t>Tabla 15. Modelo con mejor rendimiento por métrica.</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Métrica</w:t>
            </w:r>
          </w:p>
        </w:tc>
        <w:tc>
          <w:tcPr>
            <w:tcW w:type="dxa" w:w="3024"/>
          </w:tcPr>
          <w:p>
            <w:pPr>
              <w:spacing w:before="60" w:after="60"/>
            </w:pPr>
            <w:r>
              <w:rPr>
                <w:b/>
              </w:rPr>
              <w:t>Mejor modelo</w:t>
            </w:r>
          </w:p>
        </w:tc>
        <w:tc>
          <w:tcPr>
            <w:tcW w:type="dxa" w:w="3024"/>
          </w:tcPr>
          <w:p>
            <w:pPr>
              <w:spacing w:before="60" w:after="60"/>
            </w:pPr>
            <w:r>
              <w:rPr>
                <w:b/>
              </w:rPr>
              <w:t>Valor medio</w:t>
            </w:r>
          </w:p>
        </w:tc>
      </w:tr>
      <w:tr>
        <w:tc>
          <w:tcPr>
            <w:tcW w:type="dxa" w:w="3024"/>
          </w:tcPr>
          <w:p>
            <w:pPr>
              <w:spacing w:before="60" w:after="60"/>
            </w:pPr>
            <w:r>
              <w:rPr/>
              <w:t>MAE</w:t>
            </w:r>
          </w:p>
        </w:tc>
        <w:tc>
          <w:tcPr>
            <w:tcW w:type="dxa" w:w="3024"/>
          </w:tcPr>
          <w:p>
            <w:pPr>
              <w:spacing w:before="60" w:after="60"/>
            </w:pPr>
            <w:r>
              <w:rPr/>
              <w:t>ETS</w:t>
            </w:r>
          </w:p>
        </w:tc>
        <w:tc>
          <w:tcPr>
            <w:tcW w:type="dxa" w:w="3024"/>
          </w:tcPr>
          <w:p>
            <w:pPr>
              <w:spacing w:before="60" w:after="60"/>
            </w:pPr>
            <w:r>
              <w:rPr/>
              <w:t>476,199</w:t>
            </w:r>
          </w:p>
        </w:tc>
      </w:tr>
      <w:tr>
        <w:tc>
          <w:tcPr>
            <w:tcW w:type="dxa" w:w="3024"/>
          </w:tcPr>
          <w:p>
            <w:pPr>
              <w:spacing w:before="60" w:after="60"/>
            </w:pPr>
            <w:r>
              <w:rPr/>
              <w:t>RMSE</w:t>
            </w:r>
          </w:p>
        </w:tc>
        <w:tc>
          <w:tcPr>
            <w:tcW w:type="dxa" w:w="3024"/>
          </w:tcPr>
          <w:p>
            <w:pPr>
              <w:spacing w:before="60" w:after="60"/>
            </w:pPr>
            <w:r>
              <w:rPr/>
              <w:t>ETS</w:t>
            </w:r>
          </w:p>
        </w:tc>
        <w:tc>
          <w:tcPr>
            <w:tcW w:type="dxa" w:w="3024"/>
          </w:tcPr>
          <w:p>
            <w:pPr>
              <w:spacing w:before="60" w:after="60"/>
            </w:pPr>
            <w:r>
              <w:rPr/>
              <w:t>559,207</w:t>
            </w:r>
          </w:p>
        </w:tc>
      </w:tr>
      <w:tr>
        <w:tc>
          <w:tcPr>
            <w:tcW w:type="dxa" w:w="3024"/>
          </w:tcPr>
          <w:p>
            <w:pPr>
              <w:spacing w:before="60" w:after="60"/>
            </w:pPr>
            <w:r>
              <w:rPr/>
              <w:t>MAPE</w:t>
            </w:r>
          </w:p>
        </w:tc>
        <w:tc>
          <w:tcPr>
            <w:tcW w:type="dxa" w:w="3024"/>
          </w:tcPr>
          <w:p>
            <w:pPr>
              <w:spacing w:before="60" w:after="60"/>
            </w:pPr>
            <w:r>
              <w:rPr/>
              <w:t>ETS</w:t>
            </w:r>
          </w:p>
        </w:tc>
        <w:tc>
          <w:tcPr>
            <w:tcW w:type="dxa" w:w="3024"/>
          </w:tcPr>
          <w:p>
            <w:pPr>
              <w:spacing w:before="60" w:after="60"/>
            </w:pPr>
            <w:r>
              <w:rPr/>
              <w:t>10,571 %</w:t>
            </w:r>
          </w:p>
        </w:tc>
      </w:tr>
      <w:tr>
        <w:tc>
          <w:tcPr>
            <w:tcW w:type="dxa" w:w="3024"/>
          </w:tcPr>
          <w:p>
            <w:pPr>
              <w:spacing w:before="60" w:after="60"/>
            </w:pPr>
            <w:r>
              <w:rPr/>
              <w:t>sMAPE</w:t>
            </w:r>
          </w:p>
        </w:tc>
        <w:tc>
          <w:tcPr>
            <w:tcW w:type="dxa" w:w="3024"/>
          </w:tcPr>
          <w:p>
            <w:pPr>
              <w:spacing w:before="60" w:after="60"/>
            </w:pPr>
            <w:r>
              <w:rPr/>
              <w:t>ETS</w:t>
            </w:r>
          </w:p>
        </w:tc>
        <w:tc>
          <w:tcPr>
            <w:tcW w:type="dxa" w:w="3024"/>
          </w:tcPr>
          <w:p>
            <w:pPr>
              <w:spacing w:before="60" w:after="60"/>
            </w:pPr>
            <w:r>
              <w:rPr/>
              <w:t>10,005 %</w:t>
            </w:r>
          </w:p>
        </w:tc>
      </w:tr>
      <w:tr>
        <w:tc>
          <w:tcPr>
            <w:tcW w:type="dxa" w:w="3024"/>
          </w:tcPr>
          <w:p>
            <w:pPr>
              <w:spacing w:before="60" w:after="60"/>
            </w:pPr>
            <w:r>
              <w:rPr/>
              <w:t>MASE</w:t>
            </w:r>
          </w:p>
        </w:tc>
        <w:tc>
          <w:tcPr>
            <w:tcW w:type="dxa" w:w="3024"/>
          </w:tcPr>
          <w:p>
            <w:pPr>
              <w:spacing w:before="60" w:after="60"/>
            </w:pPr>
            <w:r>
              <w:rPr/>
              <w:t>ETS</w:t>
            </w:r>
          </w:p>
        </w:tc>
        <w:tc>
          <w:tcPr>
            <w:tcW w:type="dxa" w:w="3024"/>
          </w:tcPr>
          <w:p>
            <w:pPr>
              <w:spacing w:before="60" w:after="60"/>
            </w:pPr>
            <w:r>
              <w:rPr/>
              <w:t>1,017</w:t>
            </w:r>
          </w:p>
        </w:tc>
      </w:tr>
      <w:tr>
        <w:tc>
          <w:tcPr>
            <w:tcW w:type="dxa" w:w="3024"/>
          </w:tcPr>
          <w:p>
            <w:pPr>
              <w:spacing w:before="60" w:after="60"/>
            </w:pPr>
            <w:r>
              <w:rPr/>
              <w:t>WAPE</w:t>
            </w:r>
          </w:p>
        </w:tc>
        <w:tc>
          <w:tcPr>
            <w:tcW w:type="dxa" w:w="3024"/>
          </w:tcPr>
          <w:p>
            <w:pPr>
              <w:spacing w:before="60" w:after="60"/>
            </w:pPr>
            <w:r>
              <w:rPr/>
              <w:t>ETS</w:t>
            </w:r>
          </w:p>
        </w:tc>
        <w:tc>
          <w:tcPr>
            <w:tcW w:type="dxa" w:w="3024"/>
          </w:tcPr>
          <w:p>
            <w:pPr>
              <w:spacing w:before="60" w:after="60"/>
            </w:pPr>
            <w:r>
              <w:rPr/>
              <w:t>10,081 %</w:t>
            </w:r>
          </w:p>
        </w:tc>
      </w:tr>
    </w:tbl>
    <w:p>
      <w:pPr/>
      <w:r>
        <w:t xml:space="preserve">Fuente: elaboración propia. ETS obtiene el mejor resultado en las seis métricas evaluadas. Los valores corresponden a la media sobre los folds del walk-forward para N = 200 series del dataset M4 Financial Monthly.</w:t>
      </w:r>
    </w:p>
    <w:p>
      <w:pPr>
        <w:pStyle w:val="Heading2"/>
      </w:pPr>
      <w:r>
        <w:t>Desagregación por deciles de volumen</w:t>
      </w:r>
    </w:p>
    <w:p>
      <w:pPr/>
      <w:r>
        <w:t>La Figura presenta la contribución al error absoluto total por decil de volumen de serie para cada modelo. Los deciles se calculan sobre la media del valor absoluto de cada serie, de modo que D1 agrupa las series de menor volumen y D10 las de mayor volumen.</w:t>
      </w:r>
    </w:p>
    <w:p>
      <w:pPr>
        <w:pStyle w:val="Caption"/>
      </w:pPr>
      <w:r>
        <w:t>Figura 5. Contribución al error absoluto total por decil de volumen y modelo.</w:t>
      </w:r>
    </w:p>
    <w:p>
      <w:pPr>
        <w:pStyle w:val="Figuras"/>
        <w:jc w:val="center"/>
      </w:pPr>
      <w:r>
        <w:drawing>
          <wp:inline>
            <wp:extent cx="5220000" cy="2305529"/>
            <wp:docPr id="3" name="Picture 3"/>
            <wp:cNvGraphicFramePr>
              <a:graphicFrameLocks noChangeAspect="1"/>
            </wp:cNvGraphicFramePr>
            <a:graphic>
              <a:graphicData uri="http://schemas.openxmlformats.org/drawingml/2006/picture">
                <pic:pic>
                  <pic:nvPicPr>
                    <pic:cNvPr id="0" name="fig05_contribucion_deciles.png"/>
                    <pic:cNvPicPr/>
                  </pic:nvPicPr>
                  <pic:blipFill>
                    <a:blip r:embed="rId22"/>
                    <a:stretch>
                      <a:fillRect/>
                    </a:stretch>
                  </pic:blipFill>
                  <pic:spPr>
                    <a:xfrm>
                      <a:off x="0" y="0"/>
                      <a:ext cx="5220000" cy="2305529"/>
                    </a:xfrm>
                    <a:prstGeom prst="rect"/>
                  </pic:spPr>
                </pic:pic>
              </a:graphicData>
            </a:graphic>
          </wp:inline>
        </w:drawing>
      </w:r>
    </w:p>
    <w:p>
      <w:pPr>
        <w:pStyle w:val="Piedefoto-tabla"/>
      </w:pPr>
      <w:r>
        <w:t>Fuente: elaboración propia. D1 = decil de menor volumen absoluto; D10 = mayor volumen. Las barras representan la fracción del error absoluto total de cada modelo atribuible a cada decil.</w:t>
      </w:r>
    </w:p>
    <w:p>
      <w:pPr>
        <w:pStyle w:val="Heading2"/>
      </w:pPr>
      <w:r>
        <w:t>Comparativa visual de pronósticos</w:t>
      </w:r>
    </w:p>
    <w:p>
      <w:pPr/>
      <w:r>
        <w:t>La Figura presenta los sMAPE medios con sus desviaciones estándar en formato de barras, facilitando la comparación directa entre familias de modelos.</w:t>
      </w:r>
    </w:p>
    <w:p>
      <w:pPr>
        <w:pStyle w:val="Caption"/>
      </w:pPr>
      <w:r>
        <w:t>Figura 2. sMAPE medio por modelo (barras) con desviación estándar (barras de error). Orden ascendente de error.</w:t>
      </w:r>
    </w:p>
    <w:p>
      <w:pPr>
        <w:pStyle w:val="Figuras"/>
        <w:jc w:val="center"/>
      </w:pPr>
      <w:r>
        <w:drawing>
          <wp:inline>
            <wp:extent cx="5220000" cy="2279100"/>
            <wp:docPr id="4" name="Picture 4"/>
            <wp:cNvGraphicFramePr>
              <a:graphicFrameLocks noChangeAspect="1"/>
            </wp:cNvGraphicFramePr>
            <a:graphic>
              <a:graphicData uri="http://schemas.openxmlformats.org/drawingml/2006/picture">
                <pic:pic>
                  <pic:nvPicPr>
                    <pic:cNvPr id="0" name="fig02_smape_comparativa.png"/>
                    <pic:cNvPicPr/>
                  </pic:nvPicPr>
                  <pic:blipFill>
                    <a:blip r:embed="rId23"/>
                    <a:stretch>
                      <a:fillRect/>
                    </a:stretch>
                  </pic:blipFill>
                  <pic:spPr>
                    <a:xfrm>
                      <a:off x="0" y="0"/>
                      <a:ext cx="5220000" cy="2279100"/>
                    </a:xfrm>
                    <a:prstGeom prst="rect"/>
                  </pic:spPr>
                </pic:pic>
              </a:graphicData>
            </a:graphic>
          </wp:inline>
        </w:drawing>
      </w:r>
    </w:p>
    <w:p>
      <w:pPr>
        <w:pStyle w:val="Piedefoto-tabla"/>
      </w:pPr>
      <w:r>
        <w:t>Fuente: elaboración propia. Menor sMAPE indica mayor precisión. Las barras de error representan la desviación estándar sobre el conjunto de evaluaciones fold × serie.</w:t>
      </w:r>
    </w:p>
    <w:p>
      <w:r>
        <w:br w:type="page"/>
      </w:r>
    </w:p>
    <w:p>
      <w:pPr>
        <w:pStyle w:val="Heading1"/>
      </w:pPr>
      <w:r>
        <w:t>Discusión y análisis de resultados</w:t>
      </w:r>
    </w:p>
    <w:p>
      <w:pPr/>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pPr>
        <w:pStyle w:val="Heading2"/>
      </w:pPr>
      <w:r>
        <w:t>Interpretación de la comparativa global</w:t>
      </w:r>
    </w:p>
    <w:p>
      <w:pPr/>
      <w:r>
        <w:t xml:space="preserve">El primer hallazgo relevante es que todos los modelos estadísticos clásicos superan al Seasonal Naïve en más de 1 punto porcentual absoluto de sMAPE, criterio predefinido en la Tabla 11. El mejor modelo en términos de sMAPE global es </w:t>
      </w:r>
      <w:r>
        <w:rPr>
          <w:b/>
        </w:rPr>
        <w:t>ETS (AutoETS)</w:t>
      </w:r>
      <w:r>
        <w:t xml:space="preserve"> con 10.005% de error medio, frente al 13.667% del Seasonal Naïve.</w:t>
      </w:r>
    </w:p>
    <w:p>
      <w:pPr/>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r>
        <w:t>La Figura ofrece una visión normalizada del rendimiento relativo de cada modelo en el conjunto completo de métricas.</w:t>
      </w:r>
    </w:p>
    <w:p>
      <w:pPr>
        <w:pStyle w:val="Caption"/>
      </w:pPr>
      <w:r>
        <w:t>Figura 3. Mapa de calor de métricas normalizado. Los valores se normalizan por columna en [0,1]; menor valor (verde) indica mejor rendimiento.</w:t>
      </w:r>
    </w:p>
    <w:p>
      <w:pPr>
        <w:pStyle w:val="Figuras"/>
        <w:jc w:val="center"/>
      </w:pPr>
      <w:r>
        <w:drawing>
          <wp:inline>
            <wp:extent cx="5220000" cy="3605339"/>
            <wp:docPr id="5" name="Picture 5"/>
            <wp:cNvGraphicFramePr>
              <a:graphicFrameLocks noChangeAspect="1"/>
            </wp:cNvGraphicFramePr>
            <a:graphic>
              <a:graphicData uri="http://schemas.openxmlformats.org/drawingml/2006/picture">
                <pic:pic>
                  <pic:nvPicPr>
                    <pic:cNvPr id="0" name="fig03_metricas_heatmap.png"/>
                    <pic:cNvPicPr/>
                  </pic:nvPicPr>
                  <pic:blipFill>
                    <a:blip r:embed="rId24"/>
                    <a:stretch>
                      <a:fillRect/>
                    </a:stretch>
                  </pic:blipFill>
                  <pic:spPr>
                    <a:xfrm>
                      <a:off x="0" y="0"/>
                      <a:ext cx="5220000" cy="3605339"/>
                    </a:xfrm>
                    <a:prstGeom prst="rect"/>
                  </pic:spPr>
                </pic:pic>
              </a:graphicData>
            </a:graphic>
          </wp:inline>
        </w:drawing>
      </w:r>
    </w:p>
    <w:p>
      <w:pPr>
        <w:pStyle w:val="Piedefoto-tabla"/>
      </w:pPr>
      <w:r>
        <w:t>Fuente: elaboración propia. Métricas: MAE, RMSE, MAPE, sMAPE, MASE, WAPE. Modelos ordenados de mayor a menor complejidad algorítmica.</w:t>
      </w:r>
    </w:p>
    <w:p>
      <w:pPr>
        <w:pStyle w:val="Heading2"/>
      </w:pPr>
      <w:r>
        <w:t>Relación entre complejidad algorítmica y precisión</w:t>
      </w:r>
    </w:p>
    <w:p>
      <w:pPr/>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pPr>
        <w:pStyle w:val="Heading2"/>
      </w:pPr>
      <w:r>
        <w:t>Análisis del impacto económico: deciles de volumen</w:t>
      </w:r>
    </w:p>
    <w:p>
      <w:pPr/>
      <w:r>
        <w:t>La Figura revela que el error absoluto se concentra de forma desproporcionada en los deciles de mayor volumen (D8–D10): estos tres deciles acumulan el 49,2 % del error absoluto total (MAE acumulado sobre todas las series y folds), frente al 9,5 % correspondiente a los deciles D1–D3. Esta asimetría refleja directamente la distribución heterogénea de volúmenes financieros en la submuestra. Lo relevante para la evaluación orientada al valor es si los modelos más precisos en sMAPE también reducen la contribución al error en los segmentos de mayor impacto económico. La respuesta es afirmativa: en los deciles D8–D10, ETS obtiene el WAPE más bajo (8,3 %), frente al 11,7 % del Seasonal Naïve, una reducción del 29,0 % en el error relativo ponderado por volumen. El ranking de modelos en los deciles de mayor volumen es consistente con el ranking global, lo que confirma que la ventaja de ETS no se circunscribe a series de menor cuantía.</w:t>
      </w:r>
    </w:p>
    <w:p>
      <w:pPr>
        <w:pStyle w:val="Heading2"/>
      </w:pPr>
      <w:r>
        <w:t>Estabilidad temporal y confiabilidad operacional</w:t>
      </w:r>
    </w:p>
    <w:p>
      <w:pPr/>
      <w:r>
        <w:t>La Figura muestra la evolución del sMAPE promedio por fold walk-forward para los modelos locales. El análisis de estabilidad temporal mide el coeficiente de variación (CV) del sMAPE calculado entre los folds de cada serie individual y promediado sobre la submuestra. Con este cálculo, el CV temporal de ETS se sitúa en un 62,8% y el de SARIMA en un 66,6%, valores que superan el umbral del 25% predefinido en la Tabla .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pPr/>
      <w:r>
        <w:rPr>
          <w:b/>
        </w:rPr>
        <w:t>Nota sobre el criterio MASE.</w:t>
      </w:r>
      <w:r>
        <w:t xml:space="preserve"> La Tabla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pPr>
        <w:pStyle w:val="Heading2"/>
      </w:pPr>
      <w:r>
        <w:t>Propuesta de framework</w:t>
      </w:r>
    </w:p>
    <w:p>
      <w:pPr/>
      <w:r>
        <w:t>de selección de modelos</w:t>
      </w:r>
    </w:p>
    <w:p>
      <w:pPr/>
      <w:r>
        <w:t xml:space="preserve">Con base en los resultados obtenidos, la Tabla 16 sintetiza el framework cuantitativo de selección de modelos propuesto para entornos de FP&amp;A, organizado en torno a tres reglas operativas derivadas de los hallazgos empíricos.</w:t>
      </w:r>
    </w:p>
    <w:p>
      <w:pPr>
        <w:pStyle w:val="Titulo"/>
      </w:pPr>
      <w:r>
        <w:t>Tabla 16. Framework cuantitativo de selección de modelos de pronóstico para FP&amp;A.</w:t>
      </w:r>
    </w:p>
    <w:tbl>
      <w:tblPr>
        <w:tblStyle w:val="TableGrid"/>
        <w:tblW w:type="auto" w:w="0"/>
        <w:tblLayout w:type="autofit"/>
        <w:tblLook w:firstColumn="1" w:firstRow="1" w:lastColumn="0" w:lastRow="0" w:noHBand="0" w:noVBand="1" w:val="04A0"/>
      </w:tblPr>
      <w:tblGrid>
        <w:gridCol w:w="1620"/>
        <w:gridCol w:w="3726"/>
        <w:gridCol w:w="3726"/>
      </w:tblGrid>
      <w:tr>
        <w:tc>
          <w:tcPr>
            <w:tcW w:type="dxa" w:w="1620"/>
          </w:tcPr>
          <w:p>
            <w:pPr>
              <w:spacing w:before="60" w:after="60"/>
            </w:pPr>
            <w:r>
              <w:rPr>
                <w:b/>
              </w:rPr>
              <w:t xml:space="preserve">Regla</w:t>
            </w:r>
          </w:p>
        </w:tc>
        <w:tc>
          <w:tcPr>
            <w:tcW w:type="dxa" w:w="3726"/>
          </w:tcPr>
          <w:p>
            <w:pPr>
              <w:spacing w:before="60" w:after="60"/>
            </w:pPr>
            <w:r>
              <w:rPr>
                <w:b/>
              </w:rPr>
              <w:t xml:space="preserve">Condición de aplicación</w:t>
            </w:r>
          </w:p>
        </w:tc>
        <w:tc>
          <w:tcPr>
            <w:tcW w:type="dxa" w:w="3726"/>
          </w:tcPr>
          <w:p>
            <w:pPr>
              <w:spacing w:before="60" w:after="60"/>
            </w:pPr>
            <w:r>
              <w:rPr>
                <w:b/>
              </w:rPr>
              <w:t xml:space="preserve">Recomendación</w:t>
            </w:r>
          </w:p>
        </w:tc>
      </w:tr>
      <w:tr>
        <w:tc>
          <w:tcPr>
            <w:tcW w:type="dxa" w:w="1620"/>
          </w:tcPr>
          <w:p>
            <w:pPr>
              <w:spacing w:before="60" w:after="60"/>
            </w:pPr>
            <w:r>
              <w:rPr>
                <w:b/>
              </w:rPr>
              <w:t xml:space="preserve">R1 — Longitud de serie</w:t>
            </w:r>
          </w:p>
        </w:tc>
        <w:tc>
          <w:tcPr>
            <w:tcW w:type="dxa" w:w="3726"/>
          </w:tcPr>
          <w:p>
            <w:pPr>
              <w:spacing w:before="60" w:after="60"/>
            </w:pPr>
            <w:r>
              <w:rPr/>
              <w:t xml:space="preserve">Series con menos de 120 observaciones (10 años mensuales)</w:t>
            </w:r>
          </w:p>
        </w:tc>
        <w:tc>
          <w:tcPr>
            <w:tcW w:type="dxa" w:w="3726"/>
          </w:tcPr>
          <w:p>
            <w:pPr>
              <w:spacing w:before="60" w:after="60"/>
            </w:pPr>
            <w:r>
              <w:rPr/>
              <w:t xml:space="preserve">ETS o Holt-Winters con selección automática de componentes; la inversión en infraestructura de ML no se justifica en este segmento.</w:t>
            </w:r>
          </w:p>
        </w:tc>
      </w:tr>
      <w:tr>
        <w:tc>
          <w:tcPr>
            <w:tcW w:type="dxa" w:w="1620"/>
          </w:tcPr>
          <w:p>
            <w:pPr>
              <w:spacing w:before="60" w:after="60"/>
            </w:pPr>
            <w:r>
              <w:rPr>
                <w:b/>
              </w:rPr>
              <w:t xml:space="preserve">R2 — Volumen y criticidad</w:t>
            </w:r>
          </w:p>
        </w:tc>
        <w:tc>
          <w:tcPr>
            <w:tcW w:type="dxa" w:w="3726"/>
          </w:tcPr>
          <w:p>
            <w:pPr>
              <w:spacing w:before="60" w:after="60"/>
            </w:pPr>
            <w:r>
              <w:rPr/>
              <w:t xml:space="preserve">Cuentas en deciles D8–D10 o series de alta materialidad financiera</w:t>
            </w:r>
          </w:p>
        </w:tc>
        <w:tc>
          <w:tcPr>
            <w:tcW w:type="dxa" w:w="3726"/>
          </w:tcPr>
          <w:p>
            <w:pPr>
              <w:spacing w:before="60" w:after="60"/>
            </w:pPr>
            <w:r>
              <w:rPr/>
              <w:t xml:space="preserve">Priorizar la estabilidad temporal (CV-sMAPE) sobre la mínima media de error. Un modelo estable con sMAPE del 14 % es preferible a uno con sMAPE del 13 % pero CV del 40 %.</w:t>
            </w:r>
          </w:p>
        </w:tc>
      </w:tr>
      <w:tr>
        <w:tc>
          <w:tcPr>
            <w:tcW w:type="dxa" w:w="1620"/>
          </w:tcPr>
          <w:p>
            <w:pPr>
              <w:spacing w:before="60" w:after="60"/>
            </w:pPr>
            <w:r>
              <w:rPr>
                <w:b/>
              </w:rPr>
              <w:t xml:space="preserve">R3 — Datos cross-series</w:t>
            </w:r>
          </w:p>
        </w:tc>
        <w:tc>
          <w:tcPr>
            <w:tcW w:type="dxa" w:w="3726"/>
          </w:tcPr>
          <w:p>
            <w:pPr>
              <w:spacing w:before="60" w:after="60"/>
            </w:pPr>
            <w:r>
              <w:rPr/>
              <w:t xml:space="preserve">Colección con series heterogéneas o sin garantía de patrones similares</w:t>
            </w:r>
          </w:p>
        </w:tc>
        <w:tc>
          <w:tcPr>
            <w:tcW w:type="dxa" w:w="3726"/>
          </w:tcPr>
          <w:p>
            <w:pPr>
              <w:spacing w:before="60" w:after="60"/>
            </w:pPr>
            <w:r>
              <w:rPr/>
              <w:t xml:space="preserve">Global forecasting (LightGBM, MLP, N-BEATS) solo cuando se disponga de ≥ 500 series con patrones similares o series individuales &gt; 500 observaciones.</w:t>
            </w:r>
          </w:p>
        </w:tc>
      </w:tr>
    </w:tbl>
    <w:p>
      <w:pPr/>
      <w:r>
        <w:t xml:space="preserve">Fuente: elaboración propia a partir de los resultados del experimento y la literatura de referencia (Cerqueira et al., 2022; Januschowski et al., 2020).</w:t>
      </w:r>
    </w:p>
    <w:p>
      <w:pPr/>
      <w:r>
        <w:t xml:space="preserve">Debe notarse que estas reglas se derivan de un experimento realizado sobre el dataset M4 Financial Monthly,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forecasting respecto a lo observado en este experimento. La aplicación directa de los umbrales propuestos a entornos corporativos reales requiere validación empírica adicional con datos propios de cada organización.</w:t>
      </w:r>
    </w:p>
    <w:p>
      <w:pPr>
        <w:pStyle w:val="Heading2"/>
      </w:pPr>
      <w:r>
        <w:t>Limitaciones del experimento</w:t>
      </w:r>
    </w:p>
    <w:p>
      <w:pPr/>
      <w:r>
        <w:t>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 N=200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r>
        <w:br w:type="page"/>
      </w:r>
    </w:p>
    <w:p>
      <w:pPr>
        <w:pStyle w:val="Heading1"/>
      </w:pPr>
      <w:r>
        <w:t>Conclusiones y trabajo futuro</w:t>
      </w:r>
    </w:p>
    <w:p>
      <w:pPr>
        <w:pStyle w:val="Heading2"/>
      </w:pPr>
      <w:r>
        <w:t>Conclusiones</w:t>
      </w:r>
    </w:p>
    <w:p>
      <w:pPr/>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3.</w:t>
      </w:r>
    </w:p>
    <w:p>
      <w:pPr/>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pPr/>
      <w:r>
        <w:rPr>
          <w:b/>
        </w:rPr>
        <w:t>OE3 — Protocolo walk-forward sin fuga de datos.</w:t>
      </w:r>
      <w:r>
        <w:t xml:space="preserve"> Se implementó un motor de backtesting temporal con </w:t>
      </w:r>
      <w:r>
        <w:rPr>
          <w:i/>
        </w:rPr>
        <w:t>expanding window</w:t>
      </w:r>
      <w:r>
        <w:t xml:space="preserve">, step de 12 meses y ventana inicial de 54 meses, que genera entre 4 y 12 iteraciones de evaluación independientes por serie según su longitud. La función </w:t>
      </w:r>
      <w:r>
        <w:rPr>
          <w:rFonts w:ascii="Courier New" w:hAnsi="Courier New"/>
          <w:sz w:val="20"/>
        </w:rPr>
        <w:t>verify_no_leakage</w:t>
      </w:r>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pPr/>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Adicionalmente, se aplicó un test de bootstrap percentil (B = 1 000 remuestras, N = 200 series) que confirmó que la mejora de ETS sobre el baseline es estadísticamente significativa al 95 % (IC: [−4,52, −3,26] pp). Este objetivo se considera plenamente alcanzado.</w:t>
      </w:r>
    </w:p>
    <w:p>
      <w:pPr/>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sintetizado en la Tabla 16 del Capítulo 6: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 (Makridakis et al., 2022; Cerqueira et al., 2022) y tiene una implicación práctica directa: en las condiciones del presente experimento —N = 200 series del benchmark M4 Financial Monthly, longitud mediana de 175 meses, entrenamiento en CPU sin optimización de hiperparámetros—, los modelos de machine learning y deep learning no ofrecieron ventajas en precisión sobre los métodos estadísticos clásicos. Esta conclusión debe interpretarse con cautela: no es necesariamente universal. Organizaciones con colecciones de series más homogéneas, mayor disponibilidad de datos cross-series o acceso a infraestructura GPU podrían obtener resultados distintos, y la validación del framework propuesto en sus propios datos es el paso recomendado antes de tomar decisiones de inversión tecnológica. El </w:t>
      </w:r>
      <w:r>
        <w:rPr>
          <w:i/>
        </w:rPr>
        <w:t>framework</w:t>
      </w:r>
      <w:r>
        <w:t xml:space="preserve"> de selección propuesto ofrece criterios cuantitativos para orientar esa decisión en entornos de FP&amp;A con series financieras mensuales.</w:t>
      </w:r>
    </w:p>
    <w:p>
      <w:pPr>
        <w:pStyle w:val="Heading2"/>
      </w:pPr>
      <w:r>
        <w:t>Líneas de trabajo futuro</w:t>
      </w:r>
    </w:p>
    <w:p>
      <w:pPr/>
      <w:r>
        <w:t>Las limitaciones documentadas en el Capítulo 6 sugieren las siguientes líneas de investigación que aportarían valor añadido al trabajo realizado:</w:t>
      </w:r>
    </w:p>
    <w:p>
      <w:pPr>
        <w:pStyle w:val="ListParagraph"/>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pPr>
        <w:pStyle w:val="ListParagraph"/>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pPr>
        <w:pStyle w:val="ListParagraph"/>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pPr>
        <w:pStyle w:val="ListParagraph"/>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pStyle w:val="ListParagraph"/>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r>
        <w:br w:type="page"/>
      </w:r>
    </w:p>
    <w:p>
      <w:pPr>
        <w:pStyle w:val="Heading1"/>
      </w:pPr>
      <w:r>
        <w:t>Código fuente y datos analizados</w:t>
      </w:r>
    </w:p>
    <w:p>
      <w:pPr/>
      <w:r>
        <w:t>El código fuente completo desarrollado durante este trabajo se encuentra disponible en el siguiente repositorio de GitHub:</w:t>
      </w:r>
    </w:p>
    <w:p>
      <w:pPr>
        <w:pStyle w:val="Heading2"/>
      </w:pPr>
      <w:r>
        <w:t>Estructura del repositorio</w:t>
      </w:r>
    </w:p>
    <w:p>
      <w:pPr>
        <w:pStyle w:val="ListParagraph"/>
      </w:pPr>
      <w:r>
        <w:t xml:space="preserve">• </w:t>
      </w:r>
      <w:r>
        <w:rPr>
          <w:rFonts w:ascii="Courier New" w:hAnsi="Courier New"/>
          <w:sz w:val="20"/>
        </w:rPr>
        <w:t>src/</w:t>
      </w:r>
      <w:r>
        <w:t xml:space="preserve"> — módulos Python del </w:t>
      </w:r>
      <w:r>
        <w:rPr>
          <w:i/>
        </w:rPr>
        <w:t>pipeline</w:t>
      </w:r>
      <w:r>
        <w:t>:</w:t>
      </w:r>
    </w:p>
    <w:p>
      <w:pPr>
        <w:pStyle w:val="ListParagraph"/>
      </w:pPr>
      <w:r>
        <w:t xml:space="preserve">• </w:t>
      </w:r>
      <w:r>
        <w:rPr>
          <w:rFonts w:ascii="Courier New" w:hAnsi="Courier New"/>
          <w:sz w:val="20"/>
        </w:rPr>
        <w:t>config.py</w:t>
      </w:r>
      <w:r>
        <w:t xml:space="preserve"> — parámetros del experimento, semillas y rutas relativas.</w:t>
      </w:r>
    </w:p>
    <w:p>
      <w:pPr>
        <w:pStyle w:val="ListParagraph"/>
      </w:pPr>
      <w:r>
        <w:t xml:space="preserve">• </w:t>
      </w:r>
      <w:r>
        <w:rPr>
          <w:rFonts w:ascii="Courier New" w:hAnsi="Courier New"/>
          <w:sz w:val="20"/>
        </w:rPr>
        <w:t>utils.py</w:t>
      </w:r>
      <w:r>
        <w:t xml:space="preserve"> — fijación de semillas globales y sistema de </w:t>
      </w:r>
      <w:r>
        <w:rPr>
          <w:i/>
        </w:rPr>
        <w:t>logging</w:t>
      </w:r>
      <w:r>
        <w:t>.</w:t>
      </w:r>
    </w:p>
    <w:p>
      <w:pPr>
        <w:pStyle w:val="ListParagraph"/>
      </w:pPr>
      <w:r>
        <w:t xml:space="preserve">• </w:t>
      </w:r>
      <w:r>
        <w:rPr>
          <w:rFonts w:ascii="Courier New" w:hAnsi="Courier New"/>
          <w:sz w:val="20"/>
        </w:rPr>
        <w:t>data_loader.py</w:t>
      </w:r>
      <w:r>
        <w:t xml:space="preserve"> — descarga con caché del M4 Financial Monthly.</w:t>
      </w:r>
    </w:p>
    <w:p>
      <w:pPr>
        <w:pStyle w:val="ListParagraph"/>
      </w:pPr>
      <w:r>
        <w:t xml:space="preserve">• </w:t>
      </w:r>
      <w:r>
        <w:rPr>
          <w:rFonts w:ascii="Courier New" w:hAnsi="Courier New"/>
          <w:sz w:val="20"/>
        </w:rPr>
        <w:t>preprocessor.py</w:t>
      </w:r>
      <w:r>
        <w:t xml:space="preserve"> — filtrado, submuestra estratificada, escalado.</w:t>
      </w:r>
    </w:p>
    <w:p>
      <w:pPr>
        <w:pStyle w:val="ListParagraph"/>
      </w:pPr>
      <w:r>
        <w:t xml:space="preserve">• </w:t>
      </w:r>
      <w:r>
        <w:rPr>
          <w:rFonts w:ascii="Courier New" w:hAnsi="Courier New"/>
          <w:sz w:val="20"/>
        </w:rPr>
        <w:t>backtesting.py</w:t>
      </w:r>
      <w:r>
        <w:t xml:space="preserve"> — motor walk-forward y verificador de leakage.</w:t>
      </w:r>
    </w:p>
    <w:p>
      <w:pPr>
        <w:pStyle w:val="ListParagraph"/>
      </w:pPr>
      <w:r>
        <w:t xml:space="preserve">• </w:t>
      </w:r>
      <w:r>
        <w:rPr>
          <w:rFonts w:ascii="Courier New" w:hAnsi="Courier New"/>
          <w:sz w:val="20"/>
        </w:rPr>
        <w:t>evaluation.py</w:t>
      </w:r>
      <w:r>
        <w:t xml:space="preserve"> — las seis métricas de evaluación validadas con tests.</w:t>
      </w:r>
    </w:p>
    <w:p>
      <w:pPr>
        <w:pStyle w:val="ListParagraph"/>
      </w:pPr>
      <w:r>
        <w:t xml:space="preserve">• </w:t>
      </w:r>
      <w:r>
        <w:rPr>
          <w:rFonts w:ascii="Courier New" w:hAnsi="Courier New"/>
          <w:sz w:val="20"/>
        </w:rPr>
        <w:t>visualization.py</w:t>
      </w:r>
      <w:r>
        <w:t xml:space="preserve"> — generación de las cinco figuras del experimento.</w:t>
      </w:r>
    </w:p>
    <w:p>
      <w:pPr/>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pPr>
        <w:pStyle w:val="Heading2"/>
      </w:pPr>
      <w:r>
        <w:t>Diagrama de arquitectura del pipeline</w:t>
      </w:r>
    </w:p>
    <w:p>
      <w:pPr/>
      <w:r>
        <w:t xml:space="preserve">La Figura presenta la arquitectura modular del </w:t>
      </w:r>
      <w:r>
        <w:rPr>
          <w:i/>
        </w:rPr>
        <w:t>pipeline</w:t>
      </w:r>
      <w:r>
        <w:t xml:space="preserve"> desarrollado, mostrando el flujo de datos desde la carga del dataset hasta la generación de los resultados comparativos.</w:t>
      </w:r>
    </w:p>
    <w:p>
      <w:pPr>
        <w:pStyle w:val="Caption"/>
      </w:pPr>
      <w:r>
        <w:t>Figura A.1.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p>
      <w:pPr>
        <w:pStyle w:val="Figuras"/>
        <w:jc w:val="center"/>
      </w:pPr>
      <w:r>
        <w:drawing>
          <wp:inline>
            <wp:extent cx="5220000" cy="3527237"/>
            <wp:docPr id="6" name="Picture 6"/>
            <wp:cNvGraphicFramePr>
              <a:graphicFrameLocks noChangeAspect="1"/>
            </wp:cNvGraphicFramePr>
            <a:graphic>
              <a:graphicData uri="http://schemas.openxmlformats.org/drawingml/2006/picture">
                <pic:pic>
                  <pic:nvPicPr>
                    <pic:cNvPr id="0" name="diagrama_pipeline.png"/>
                    <pic:cNvPicPr/>
                  </pic:nvPicPr>
                  <pic:blipFill>
                    <a:blip r:embed="rId25"/>
                    <a:stretch>
                      <a:fillRect/>
                    </a:stretch>
                  </pic:blipFill>
                  <pic:spPr>
                    <a:xfrm>
                      <a:off x="0" y="0"/>
                      <a:ext cx="5220000" cy="3527237"/>
                    </a:xfrm>
                    <a:prstGeom prst="rect"/>
                  </pic:spPr>
                </pic:pic>
              </a:graphicData>
            </a:graphic>
          </wp:inline>
        </w:drawing>
      </w:r>
    </w:p>
    <w:p>
      <w:pPr>
        <w:pStyle w:val="Piedefoto-tabla"/>
      </w:pPr>
      <w:r>
        <w:t>Fuente: elaboración propia.</w:t>
      </w:r>
    </w:p>
    <w:p>
      <w:pPr/>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pPr/>
      <w:r>
        <w:rPr>
          <w:b/>
        </w:rPr>
        <w:t>Nota de confidencialidad:</w:t>
      </w:r>
      <w:r>
        <w:t xml:space="preserve"> este TFE no está asociado a datos internos de ninguna organización. Los datos utilizados son exclusivamente los del conjunto M4, de acceso público.</w:t>
      </w:r>
    </w:p>
    <w:p>
      <w:pPr>
        <w:pStyle w:val="Heading2"/>
      </w:pPr>
      <w:r>
        <w:t>Reproducibilidad</w:t>
      </w:r>
    </w:p>
    <w:p>
      <w:pPr/>
      <w:r>
        <w:t>Para reproducir el experimento completo:</w:t>
      </w:r>
    </w:p>
    <w:p>
      <w:pPr>
        <w:pStyle w:val="ListParagraph"/>
        <w:ind w:left="720"/>
      </w:pPr>
      <w:r>
        <w:rPr>
          <w:b w:val="0"/>
        </w:rPr>
        <w:t xml:space="preserve">1. </w:t>
      </w:r>
      <w:r>
        <w:t xml:space="preserve">Instalar las dependencias: </w:t>
      </w:r>
      <w:r>
        <w:rPr>
          <w:rFonts w:ascii="Courier New" w:hAnsi="Courier New"/>
          <w:sz w:val="20"/>
        </w:rPr>
        <w:t>pip install -r requirements.txt</w:t>
      </w:r>
    </w:p>
    <w:p>
      <w:pPr>
        <w:pStyle w:val="ListParagraph"/>
        <w:ind w:left="720"/>
      </w:pPr>
      <w:r>
        <w:rPr>
          <w:b w:val="0"/>
        </w:rPr>
        <w:t xml:space="preserve">2. </w:t>
      </w:r>
      <w:r>
        <w:t xml:space="preserve">Ejecutar: </w:t>
      </w:r>
      <w:r>
        <w:rPr>
          <w:rFonts w:ascii="Courier New" w:hAnsi="Courier New"/>
          <w:sz w:val="20"/>
        </w:rPr>
        <w:t>python run_experiment.py –n-series 200 –max-folds 5</w:t>
      </w:r>
    </w:p>
    <w:p>
      <w:pPr>
        <w:pStyle w:val="ListParagraph"/>
        <w:ind w:left="720"/>
      </w:pPr>
      <w:r>
        <w:rPr>
          <w:b w:val="0"/>
        </w:rPr>
        <w:t xml:space="preserve">3. </w:t>
      </w:r>
      <w:r>
        <w:t xml:space="preserve">Actualizar la memoria con los resultados: </w:t>
      </w:r>
      <w:r>
        <w:rPr>
          <w:rFonts w:ascii="Courier New" w:hAnsi="Courier New"/>
          <w:sz w:val="20"/>
        </w:rPr>
        <w:t>python update_results_latex.py</w:t>
      </w:r>
    </w:p>
    <w:p>
      <w:pPr/>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pPr>
        <w:pStyle w:val="Ttulo1sinnumerar"/>
      </w:pPr>
      <w:r>
        <w:t>Referencias bibliográficas</w:t>
      </w:r>
    </w:p>
    <w:p>
      <w:pPr>
        <w:pStyle w:val="Referenciasbibliogrficas"/>
      </w:pPr>
      <w:r>
        <w:t>Armstrong, J. S. (2001). Principles of Forecasting: A Handbook for Researchers and Practitioners. Kluwer Academic Publishers. https://doi.org/10.1007/978-0-306-47630-3</w:t>
      </w:r>
    </w:p>
    <w:p>
      <w:pPr>
        <w:pStyle w:val="Referenciasbibliogrficas"/>
      </w:pPr>
      <w:r>
        <w:t>Bergmeir, C., &amp; Hyndman, R. J. (2012). On the use of cross-validation for time series predictor evaluation. Information Sciences, 191, 192–203. https://doi.org/10.1016/j.ins.2011.12.028</w:t>
      </w:r>
    </w:p>
    <w:p>
      <w:pPr>
        <w:pStyle w:val="Referenciasbibliogrficas"/>
      </w:pPr>
      <w:r>
        <w:t>Cerqueira, V., Torgo, L., &amp; Mozetič, I. (2020). Evaluating time series forecasting models: An empirical study on performance estimation methods. Machine Learning, 109, 1997–2028. https://doi.org/10.1007/s10994-020-05910-7</w:t>
      </w:r>
    </w:p>
    <w:p>
      <w:pPr>
        <w:pStyle w:val="Referenciasbibliogrficas"/>
      </w:pPr>
      <w:r>
        <w:t>Cerqueira, V., Torgo, L., &amp; Soares, C. (2022). A case study comparing machine learning with statistical methods for time series forecasting: size matters. Journal of Intelligent Information Systems, 59(2), 415–433. https://doi.org/10.1007/s10844-022-00713-9</w:t>
      </w:r>
    </w:p>
    <w:p>
      <w:pPr>
        <w:pStyle w:val="Referenciasbibliogrficas"/>
      </w:pPr>
      <w:r>
        <w:t>Doran, G. T. (1981). There’s a S.M.A.R.T. way to write management’s goals and objectives. Management Review, 70(11), 35–36.</w:t>
      </w:r>
    </w:p>
    <w:p>
      <w:pPr>
        <w:pStyle w:val="Referenciasbibliogrficas"/>
      </w:pPr>
      <w:r>
        <w:t>Fildes, R., Ma, S., &amp; Kolassa, S. (2022). Retail forecasting: Research and practice. International Journal of Forecasting, 38(4), 1283–1318. https://doi.org/10.1016/j.ijforecast.2019.06.004</w:t>
      </w:r>
    </w:p>
    <w:p>
      <w:pPr>
        <w:pStyle w:val="Referenciasbibliogrficas"/>
      </w:pPr>
      <w:r>
        <w:t>Hyndman, R. J., &amp; Athanasopoulos, G. (2021). Forecasting: Principles and Practice (3.ª ed.). OTexts. https://otexts.com/fpp3/</w:t>
      </w:r>
    </w:p>
    <w:p>
      <w:pPr>
        <w:pStyle w:val="Referenciasbibliogrficas"/>
      </w:pPr>
      <w:r>
        <w:t>Januschowski, T., Wang, Y., Torkkola, K., Erkkilä, T., Hasson, H., &amp; Gasthaus, J. (2020). Forecasting with trees. International Journal of Forecasting, 36(1), 167–173. https://doi.org/10.1016/j.ijforecast.2019.10.004</w:t>
      </w:r>
    </w:p>
    <w:p>
      <w:pPr>
        <w:pStyle w:val="Referenciasbibliogrficas"/>
      </w:pPr>
      <w:r>
        <w:t>Kolassa, S. (2022). Why the «Best» Point Forecast Depends on the Error or Accuracy Measure. En M. Gilliland, L. Tashman y U. Sglavo (Eds.), Business Forecasting: Practical Problems and Solutions (pp. 113–122). Wiley.</w:t>
      </w:r>
    </w:p>
    <w:p>
      <w:pPr>
        <w:pStyle w:val="Referenciasbibliogrficas"/>
      </w:pPr>
      <w:r>
        <w:t>Lim, B., &amp; Zohren, S. (2021). Time-series forecasting with deep learning: a survey. Philosophical Transactions of the Royal Society A, 379(2194), 20200209. https://doi.org/10.1098/rsta.2020.0209</w:t>
      </w:r>
    </w:p>
    <w:p>
      <w:pPr>
        <w:pStyle w:val="Referenciasbibliogrficas"/>
      </w:pPr>
      <w:r>
        <w:t>Lim, B., Arık, S. Ö., Loeff, N., &amp; Pfister, T. (2021). Temporal Fusion Transformers for interpretable multi-horizon time series forecasting. International Journal of Forecasting, 37(4), 1748–1764. https://doi.org/10.1016/j.ijforecast.2021.03.012</w:t>
      </w:r>
    </w:p>
    <w:p>
      <w:pPr>
        <w:pStyle w:val="Referenciasbibliogrficas"/>
      </w:pPr>
      <w:r>
        <w:t>Makridakis, S., Spiliotis, E., &amp; Assimakopoulos, V. (2020). The M4 Competition: 100,000 time series and 61 forecasting methods. International Journal of Forecasting, 36(1), 54–74. https://doi.org/10.1016/j.ijforecast.2019.04.014</w:t>
      </w:r>
    </w:p>
    <w:p>
      <w:pPr>
        <w:pStyle w:val="Referenciasbibliogrficas"/>
      </w:pPr>
      <w:r>
        <w:t>Makridakis, S., Spiliotis, E., &amp; Assimakopoulos, V. (2022). M5 accuracy competition: Results, findings, and conclusions. International Journal of Forecasting, 38(4), 1346–1364. https://doi.org/10.1016/j.ijforecast.2021.11.013</w:t>
      </w:r>
    </w:p>
    <w:p>
      <w:pPr>
        <w:pStyle w:val="Referenciasbibliogrficas"/>
      </w:pPr>
      <w:r>
        <w:t>Makridakis, S., Spiliotis, E., Hollyman, R., Petropoulos, F., Swanson, N., &amp; Gaba, A. (2025). The M6 forecasting competition: Bridging the gap between forecasting and investment decisions. International Journal of Forecasting, 41(4), 1315–1354. https://doi.org/10.1016/j.ijforecast.2024.11.002</w:t>
      </w:r>
    </w:p>
    <w:p>
      <w:pPr>
        <w:pStyle w:val="Referenciasbibliogrficas"/>
      </w:pPr>
      <w:r>
        <w:t>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pPr>
        <w:pStyle w:val="Referenciasbibliogrficas"/>
      </w:pPr>
      <w:r>
        <w:t>Oreshkin, B. N., Carpov, D., Chapados, N., &amp; Bengio, Y. (2020). N-BEATS: Neural basis expansion analysis for interpretable time series forecasting. En Proceedings of the 8th International Conference on Learning Representations (ICLR 2020). https://openreview.net/forum?id=r1ecqn4YwB</w:t>
      </w:r>
    </w:p>
    <w:p>
      <w:pPr>
        <w:pStyle w:val="Referenciasbibliogrficas"/>
      </w:pPr>
      <w:r>
        <w:t>Petropoulos, F., Apiletti, D., Assimakopoulos, V., Babai, M. Z., Barrow, D. K., Ben Taieb, S., Bergmeir, C., Bessa, R. J., Bijak, J., Boylan, J. E., Browell, J., y otros. (2022). Forecasting: theory and practice. International Journal of Forecasting, 38(3), 705–871. https://doi.org/10.1016/j.ijforecast.2021.11.001</w:t>
      </w:r>
    </w:p>
    <w:p>
      <w:pPr>
        <w:pStyle w:val="Referenciasbibliogrficas"/>
      </w:pPr>
      <w:r>
        <w:t>Rahimikia, E., Ni, H., &amp; Wang, W. (2025). Re(Visiting) Time Series Foundation Models in Finance. arXiv:2511.18578. https://arxiv.org/abs/2511.18578</w:t>
      </w:r>
    </w:p>
    <w:p>
      <w:pPr>
        <w:pStyle w:val="Referenciasbibliogrficas"/>
      </w:pPr>
      <w:r>
        <w:t>Zhu, Z., Chen, H., Qu, Q., &amp; Chung, V. (2025). FinCast: A Foundation Model for Financial Time-Series Forecasting. En Proceedings of the 34th ACM International Conference on Information and Knowledge Management (CIKM 2025). https://doi.org/10.1145/3746252.3761261</w:t>
      </w:r>
    </w:p>
    <w:p>
      <w:pPr>
        <w:pStyle w:val="Referenciasbibliogrficas"/>
      </w:pPr>
      <w:r>
        <w:t>Zhou, H., Zhang, S., Peng, J., Zhang, S., Li, J., Xiong, H., &amp; Zhang, W. (2021). Informer: Beyond Efficient Transformer for Long Sequence Time-Series Forecasting. Proceedings of the AAAI Conference on Artificial Intelligence, 35(12), 11106–11115. https://doi.org/10.1609/aaai.v35i12.17325</w:t>
      </w:r>
    </w:p>
    <w:sectPr w:rsidRPr="00B545A3" w:rsidR="0F9583D7" w:rsidSect="004871CB">
      <w:headerReference w:type="first" r:id="rId15"/>
      <w:footerReference w:type="first" r:id="rId16"/>
      <w:headerReference w:type="default" r:id="rId19"/>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