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radica en la propuesta de un marco de evaluación que va más allá del error estadístico puro. Resulta necesario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problema metodológico de fondo.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pStyle w:val="ListParagraph"/>
      </w:pPr>
      <w:r>
        <w:t xml:space="preserve">• </w:t>
      </w:r>
      <w:r>
        <w:rPr>
          <w:b/>
        </w:rPr>
        <w:t xml:space="preserve">Capítulo 7. Conclusiones y trabajo futuro.</w:t>
      </w:r>
      <w:r>
        <w:t xml:space="preserve"> Síntesis de hallazgos por objetivo específico, grado de cumplimiento, limitaciones del estudio y líneas de investigación futura.</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3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4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La clave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Chronos y FinCast no forman parte de la comparativa desarrollada en este trabajo; se mencionan exclusivamente como referencia de la frontera actual del campo.</w:t>
      </w:r>
    </w:p>
    <w:p>
      <w:pPr/>
      <w:r>
        <w:t>La dimensión metodológica de la evaluación merece un apartado propio, porque su correcta aplicación condiciona la validez de cualquier conclusión sobre qué modelo es preferible. La Tabla 5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orientarse al valor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tres brechas que motivan la investigación y articulan los objetivos específicos del trabajo, sintetizadas en la Tabla 7.</w:t>
      </w:r>
    </w:p>
    <w:p>
      <w:pPr>
        <w:pStyle w:val="Caption"/>
      </w:pPr>
      <w:r>
        <w:t>Tabla 7. Brechas identificadas en la literatura y respuesta metodológica del trabajo.</w:t>
      </w:r>
    </w:p>
    <w:tbl>
      <w:tblPr>
        <w:tblStyle w:val="TableGrid"/>
        <w:tblW w:type="auto" w:w="0"/>
        <w:tblLayout w:type="autofit"/>
        <w:tblLook w:firstColumn="1" w:firstRow="1" w:lastColumn="0" w:lastRow="0" w:noHBand="0" w:noVBand="1" w:val="04A0"/>
      </w:tblPr>
      <w:tblGrid>
        <w:gridCol w:w="2520"/>
        <w:gridCol w:w="2520"/>
        <w:gridCol w:w="4032"/>
      </w:tblGrid>
      <w:tr>
        <w:tc>
          <w:tcPr>
            <w:tcW w:type="dxa" w:w="2520"/>
          </w:tcPr>
          <w:p>
            <w:pPr>
              <w:spacing w:before="60" w:after="60"/>
            </w:pPr>
            <w:r>
              <w:rPr>
                <w:b/>
              </w:rPr>
              <w:t xml:space="preserve">Brecha identificada</w:t>
            </w:r>
          </w:p>
        </w:tc>
        <w:tc>
          <w:tcPr>
            <w:tcW w:type="dxa" w:w="2520"/>
          </w:tcPr>
          <w:p>
            <w:pPr>
              <w:spacing w:before="60" w:after="60"/>
            </w:pPr>
            <w:r>
              <w:rPr>
                <w:b/>
              </w:rPr>
              <w:t xml:space="preserve">Evidencia bibliográfica</w:t>
            </w:r>
          </w:p>
        </w:tc>
        <w:tc>
          <w:tcPr>
            <w:tcW w:type="dxa" w:w="4032"/>
          </w:tcPr>
          <w:p>
            <w:pPr>
              <w:spacing w:before="60" w:after="60"/>
            </w:pPr>
            <w:r>
              <w:rPr>
                <w:b/>
              </w:rPr>
              <w:t xml:space="preserve">Respuesta del TFE</w:t>
            </w:r>
          </w:p>
        </w:tc>
      </w:tr>
      <w:tr>
        <w:tc>
          <w:tcPr>
            <w:tcW w:type="dxa" w:w="2520"/>
          </w:tcPr>
          <w:p>
            <w:pPr>
              <w:spacing w:before="60" w:after="60"/>
            </w:pPr>
            <w:r>
              <w:rPr/>
              <w:t xml:space="preserve">Escasez de estudios con series financieras corporativas</w:t>
            </w:r>
          </w:p>
        </w:tc>
        <w:tc>
          <w:tcPr>
            <w:tcW w:type="dxa" w:w="2520"/>
          </w:tcPr>
          <w:p>
            <w:pPr>
              <w:spacing w:before="60" w:after="60"/>
            </w:pPr>
            <w:r>
              <w:rPr/>
              <w:t xml:space="preserve">Benchmarks disponibles construidos principalmente sobre datos de retail, energía o tráfico (Makridakis et al., 2022)</w:t>
            </w:r>
          </w:p>
        </w:tc>
        <w:tc>
          <w:tcPr>
            <w:tcW w:type="dxa" w:w="4032"/>
          </w:tcPr>
          <w:p>
            <w:pPr>
              <w:spacing w:before="60" w:after="60"/>
            </w:pPr>
            <w:r>
              <w:rPr/>
              <w:t xml:space="preserve">Experimento sobre submuestra de M4 Financial Monthly (N = 200 series)</w:t>
            </w:r>
          </w:p>
        </w:tc>
      </w:tr>
      <w:tr>
        <w:tc>
          <w:tcPr>
            <w:tcW w:type="dxa" w:w="2520"/>
          </w:tcPr>
          <w:p>
            <w:pPr>
              <w:spacing w:before="60" w:after="60"/>
            </w:pPr>
            <w:r>
              <w:rPr/>
              <w:t xml:space="preserve">Ausencia de marcos de evaluación orientados al valor en FP&amp;A</w:t>
            </w:r>
          </w:p>
        </w:tc>
        <w:tc>
          <w:tcPr>
            <w:tcW w:type="dxa" w:w="2520"/>
          </w:tcPr>
          <w:p>
            <w:pPr>
              <w:spacing w:before="60" w:after="60"/>
            </w:pPr>
            <w:r>
              <w:rPr/>
              <w:t xml:space="preserve">Minimizar el error estadístico no garantiza maximizar el valor para el negocio (Armstrong, 2001; Makridakis et al., 2025)</w:t>
            </w:r>
          </w:p>
        </w:tc>
        <w:tc>
          <w:tcPr>
            <w:tcW w:type="dxa" w:w="4032"/>
          </w:tcPr>
          <w:p>
            <w:pPr>
              <w:spacing w:before="60" w:after="60"/>
            </w:pPr>
            <w:r>
              <w:rPr/>
              <w:t xml:space="preserve">Incorporación de WAPE y análisis de contribución al error absoluto por decil de volumen</w:t>
            </w:r>
          </w:p>
        </w:tc>
      </w:tr>
      <w:tr>
        <w:tc>
          <w:tcPr>
            <w:tcW w:type="dxa" w:w="2520"/>
          </w:tcPr>
          <w:p>
            <w:pPr>
              <w:spacing w:before="60" w:after="60"/>
            </w:pPr>
            <w:r>
              <w:rPr/>
              <w:t xml:space="preserve">Falta de criterios objetivos para la selección de modelos en FP&amp;A</w:t>
            </w:r>
          </w:p>
        </w:tc>
        <w:tc>
          <w:tcPr>
            <w:tcW w:type="dxa" w:w="2520"/>
          </w:tcPr>
          <w:p>
            <w:pPr>
              <w:spacing w:before="60" w:after="60"/>
            </w:pPr>
            <w:r>
              <w:rPr/>
              <w:t xml:space="preserve">Quienes deciden en FP&amp;A carecen de guías cuantitativas para determinar cuándo la mayor sofisticación se justifica</w:t>
            </w:r>
          </w:p>
        </w:tc>
        <w:tc>
          <w:tcPr>
            <w:tcW w:type="dxa" w:w="4032"/>
          </w:tcPr>
          <w:p>
            <w:pPr>
              <w:spacing w:before="60" w:after="60"/>
            </w:pPr>
            <w:r>
              <w:rPr/>
              <w:t xml:space="preserve">Framework cuantitativo de tres reglas operativas derivado de los resultados del experimento</w:t>
            </w:r>
          </w:p>
        </w:tc>
      </w:tr>
    </w:tbl>
    <w:p>
      <w:pPr/>
      <w:r>
        <w:t xml:space="preserve">Fuente: elaboración propia a partir de Armstrong (2001), Makridakis et al. (2022, 2025) y Cerqueira et al. (2022).</w:t>
      </w:r>
    </w:p>
    <w:p>
      <w:pPr/>
      <w:r>
        <w:t xml:space="preserve">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Anexo A. Código fuente y datos analizados</w:t>
      </w:r>
    </w:p>
    <w:p>
      <w:pPr/>
      <w:r>
        <w:t>El código fuente completo desarrollado durante este trabajo se encuentra disponible en el siguiente repositorio de GitHub:</w:t>
      </w:r>
    </w:p>
    <w:p>
      <w:pPr/>
      <w:r>
        <w:rPr>
          <w:rFonts w:ascii="Courier New" w:hAnsi="Courier New"/>
          <w:sz w:val="20"/>
        </w:rPr>
        <w:t>https://github.com/jmmachadol/tfm_FP-A</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r>
        <w:t xml:space="preserve">El entorno de ejecución utilizado es Python 3.13 con las siguientes dependencias principales: numpy 2.3.5, pandas 2.3.2, statsmodels 0.14.6, statsforecast 2.0.3, lightgbm 4.6.0, torch 2.11.0. El archivo requirements.txt del repositorio fija todas las versiones para garantizar la reproducibilidad exacta del experimento.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