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pPr>
        <w:pStyle w:val="NoSpacing"/>
      </w:pPr>
      <w:r>
        <w:rPr>
          <w:rFonts w:ascii="Calibri" w:hAnsi="Calibri"/>
          <w:b/>
          <w:sz w:val="24"/>
        </w:rPr>
        <w:t xml:space="preserve">Fecha: </w:t>
      </w:r>
      <w:r>
        <w:rPr>
          <w:rFonts w:ascii="Calibri" w:hAnsi="Calibri"/>
          <w:sz w:val="24"/>
        </w:rPr>
        <w:t>Julio de 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pStyle w:val="ListParagraph"/>
      </w:pPr>
      <w:r>
        <w:t xml:space="preserve">• </w:t>
      </w:r>
      <w:r>
        <w:rPr>
          <w:b/>
        </w:rPr>
        <w:t xml:space="preserve">Capítulo 7. Conclusiones y trabajo futuro.</w:t>
      </w:r>
      <w:r>
        <w:t xml:space="preserve"> Síntesis de hallazgos por objetivo específico, grado de cumplimiento, limitaciones del estudio y líneas de investigación futura.</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3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4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pPr/>
      <w:r>
        <w:t>La dimensión metodológica de la evaluación merece un apartado propio, porque su correcta aplicación condiciona la validez de cualquier conclusión sobre qué modelo es preferible. La Tabla 5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tres brechas que motivan la investigación y articulan los objetivos específicos del trabajo, sintetizadas en la Tabla 7.</w:t>
      </w:r>
    </w:p>
    <w:p>
      <w:pPr>
        <w:pStyle w:val="Caption"/>
      </w:pPr>
      <w:r>
        <w:t>Tabla 7. Brechas identificadas en la literatura y respuesta metodológica del trabajo.</w:t>
      </w:r>
    </w:p>
    <w:tbl>
      <w:tblPr>
        <w:tblStyle w:val="TableGrid"/>
        <w:tblW w:type="auto" w:w="0"/>
        <w:tblLayout w:type="autofit"/>
        <w:tblLook w:firstColumn="1" w:firstRow="1" w:lastColumn="0" w:lastRow="0" w:noHBand="0" w:noVBand="1" w:val="04A0"/>
      </w:tblPr>
      <w:tblGrid>
        <w:gridCol w:w="2520"/>
        <w:gridCol w:w="2520"/>
        <w:gridCol w:w="4032"/>
      </w:tblGrid>
      <w:tr>
        <w:tc>
          <w:tcPr>
            <w:tcW w:type="dxa" w:w="2520"/>
          </w:tcPr>
          <w:p>
            <w:pPr>
              <w:spacing w:before="60" w:after="60"/>
            </w:pPr>
            <w:r>
              <w:rPr>
                <w:b/>
              </w:rPr>
              <w:t xml:space="preserve">Brecha identificada</w:t>
            </w:r>
          </w:p>
        </w:tc>
        <w:tc>
          <w:tcPr>
            <w:tcW w:type="dxa" w:w="2520"/>
          </w:tcPr>
          <w:p>
            <w:pPr>
              <w:spacing w:before="60" w:after="60"/>
            </w:pPr>
            <w:r>
              <w:rPr>
                <w:b/>
              </w:rPr>
              <w:t xml:space="preserve">Evidencia bibliográfica</w:t>
            </w:r>
          </w:p>
        </w:tc>
        <w:tc>
          <w:tcPr>
            <w:tcW w:type="dxa" w:w="4032"/>
          </w:tcPr>
          <w:p>
            <w:pPr>
              <w:spacing w:before="60" w:after="60"/>
            </w:pPr>
            <w:r>
              <w:rPr>
                <w:b/>
              </w:rPr>
              <w:t xml:space="preserve">Respuesta del TFE</w:t>
            </w:r>
          </w:p>
        </w:tc>
      </w:tr>
      <w:tr>
        <w:tc>
          <w:tcPr>
            <w:tcW w:type="dxa" w:w="2520"/>
          </w:tcPr>
          <w:p>
            <w:pPr>
              <w:spacing w:before="60" w:after="60"/>
            </w:pPr>
            <w:r>
              <w:rPr/>
              <w:t xml:space="preserve">Escasez de estudios con series financieras corporativas</w:t>
            </w:r>
          </w:p>
        </w:tc>
        <w:tc>
          <w:tcPr>
            <w:tcW w:type="dxa" w:w="2520"/>
          </w:tcPr>
          <w:p>
            <w:pPr>
              <w:spacing w:before="60" w:after="60"/>
            </w:pPr>
            <w:r>
              <w:rPr/>
              <w:t xml:space="preserve">Benchmarks disponibles construidos principalmente sobre datos de retail, energía o tráfico (Makridakis et al., 2022)</w:t>
            </w:r>
          </w:p>
        </w:tc>
        <w:tc>
          <w:tcPr>
            <w:tcW w:type="dxa" w:w="4032"/>
          </w:tcPr>
          <w:p>
            <w:pPr>
              <w:spacing w:before="60" w:after="60"/>
            </w:pPr>
            <w:r>
              <w:rPr/>
              <w:t xml:space="preserve">Experimento sobre submuestra de M4 Financial Monthly (N = 200 series)</w:t>
            </w:r>
          </w:p>
        </w:tc>
      </w:tr>
      <w:tr>
        <w:tc>
          <w:tcPr>
            <w:tcW w:type="dxa" w:w="2520"/>
          </w:tcPr>
          <w:p>
            <w:pPr>
              <w:spacing w:before="60" w:after="60"/>
            </w:pPr>
            <w:r>
              <w:rPr/>
              <w:t xml:space="preserve">Ausencia de marcos de evaluación orientados al valor en FP&amp;A</w:t>
            </w:r>
          </w:p>
        </w:tc>
        <w:tc>
          <w:tcPr>
            <w:tcW w:type="dxa" w:w="2520"/>
          </w:tcPr>
          <w:p>
            <w:pPr>
              <w:spacing w:before="60" w:after="60"/>
            </w:pPr>
            <w:r>
              <w:rPr/>
              <w:t xml:space="preserve">Minimizar el error estadístico no garantiza maximizar el valor para el negocio (Armstrong, 2001; Makridakis et al., 2025)</w:t>
            </w:r>
          </w:p>
        </w:tc>
        <w:tc>
          <w:tcPr>
            <w:tcW w:type="dxa" w:w="4032"/>
          </w:tcPr>
          <w:p>
            <w:pPr>
              <w:spacing w:before="60" w:after="60"/>
            </w:pPr>
            <w:r>
              <w:rPr/>
              <w:t xml:space="preserve">Incorporación de WAPE y análisis de contribución al error absoluto por decil de volumen</w:t>
            </w:r>
          </w:p>
        </w:tc>
      </w:tr>
      <w:tr>
        <w:tc>
          <w:tcPr>
            <w:tcW w:type="dxa" w:w="2520"/>
          </w:tcPr>
          <w:p>
            <w:pPr>
              <w:spacing w:before="60" w:after="60"/>
            </w:pPr>
            <w:r>
              <w:rPr/>
              <w:t xml:space="preserve">Falta de criterios objetivos para la selección de modelos en FP&amp;A</w:t>
            </w:r>
          </w:p>
        </w:tc>
        <w:tc>
          <w:tcPr>
            <w:tcW w:type="dxa" w:w="2520"/>
          </w:tcPr>
          <w:p>
            <w:pPr>
              <w:spacing w:before="60" w:after="60"/>
            </w:pPr>
            <w:r>
              <w:rPr/>
              <w:t xml:space="preserve">Quienes deciden en FP&amp;A carecen de guías cuantitativas para determinar cuándo la mayor sofisticación se justifica</w:t>
            </w:r>
          </w:p>
        </w:tc>
        <w:tc>
          <w:tcPr>
            <w:tcW w:type="dxa" w:w="4032"/>
          </w:tcPr>
          <w:p>
            <w:pPr>
              <w:spacing w:before="60" w:after="60"/>
            </w:pPr>
            <w:r>
              <w:rPr/>
              <w:t xml:space="preserve">Framework cuantitativo de tres reglas operativas derivado de los resultados del experimento</w:t>
            </w:r>
          </w:p>
        </w:tc>
      </w:tr>
    </w:tbl>
    <w:p>
      <w:pPr/>
      <w:r>
        <w:t xml:space="preserve">Fuente: elaboración propia a partir de Armstrong (2001), Makridakis et al. (2022, 2025) y Cerqueira et al. (2022).</w:t>
      </w:r>
    </w:p>
    <w:p>
      <w:pPr/>
      <w:r>
        <w:t xml:space="preserve">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8 recoge las características principales del conjunto de datos.</w:t>
      </w:r>
    </w:p>
    <w:p>
      <w:pPr>
        <w:pStyle w:val="Caption"/>
      </w:pPr>
      <w:r>
        <w:t>Tabla 8.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9 describe los siete modelos incluidos.</w:t>
      </w:r>
    </w:p>
    <w:p>
      <w:pPr>
        <w:pStyle w:val="Caption"/>
      </w:pPr>
      <w:r>
        <w:t>Tabla 9.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10 describe las seis métricas adoptadas.</w:t>
      </w:r>
    </w:p>
    <w:p>
      <w:pPr>
        <w:pStyle w:val="Caption"/>
      </w:pPr>
      <w:r>
        <w:t>Tabla 10.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11 documenta los parámetros del protocolo y su justificación.</w:t>
      </w:r>
    </w:p>
    <w:p>
      <w:pPr>
        <w:pStyle w:val="Caption"/>
      </w:pPr>
      <w:r>
        <w:t>Tabla 11.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12 operan en dos niveles: cuándo un modelo supera al baseline, y cuándo la mejora de un modelo complejo sobre otro justifica la inversión adicional en complejidad.</w:t>
      </w:r>
    </w:p>
    <w:p>
      <w:pPr>
        <w:pStyle w:val="Caption"/>
      </w:pPr>
      <w:r>
        <w:t>Tabla 12.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13a.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13b.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 &lt; 25 % (Tabla 12);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2.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14. Evaluación frente a los criterios de éxito predefinidos en la Tabla 12.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14, se aplicó un test de bootstrap percentil (Efron &amp; Tibshirani, 1993) sobre las diferencias pareadas por serie entre cada modelo y el baseline Seasonal Naïve. La unidad de remuestreo es la serie (N = 200), con B = 1 000 remuestras y nivel de significación α = 0,05 (bilateral). La Tabla 15 presenta las diferencias medias en sMAPE y los intervalos de confianza al 95 %.</w:t>
      </w:r>
    </w:p>
    <w:p>
      <w:pPr>
        <w:pStyle w:val="Titulo"/>
      </w:pPr>
      <w:r>
        <w:t>Tabla 15.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16 sintetiza el modelo con mejor rendimiento para cada una de las seis métricas de la comparativa, identificando al ganador global del experimento.</w:t>
      </w:r>
    </w:p>
    <w:p>
      <w:pPr>
        <w:pStyle w:val="Titulo"/>
      </w:pPr>
      <w:r>
        <w:t>Tabla 16.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3.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4.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12.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5.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17 sintetiza el framework cuantitativo de selección de modelos propuesto para entornos de FP&amp;A, organizado en torno a tres reglas operativas derivadas de los hallazgos empíricos.</w:t>
      </w:r>
    </w:p>
    <w:p>
      <w:pPr>
        <w:pStyle w:val="Titulo"/>
      </w:pPr>
      <w:r>
        <w:t>Tabla 17.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17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Anexo A. Código fuente y datos analizados</w:t>
      </w:r>
    </w:p>
    <w:p>
      <w:pPr/>
      <w:r>
        <w:t>El código fuente completo desarrollado durante este trabajo se encuentra disponible en el siguiente repositorio de GitHub:</w:t>
      </w:r>
    </w:p>
    <w:p>
      <w:pPr/>
      <w:r>
        <w:rPr>
          <w:rFonts w:ascii="Courier New" w:hAnsi="Courier New"/>
          <w:sz w:val="20"/>
        </w:rPr>
        <w:t>https://github.com/jmmachadol/tfm_FP-A</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r>
        <w:t xml:space="preserve">El entorno de ejecución utilizado es Python 3.13 con las siguientes dependencias principales: numpy 2.3.5, pandas 2.3.2, statsmodels 0.14.6, statsforecast 2.0.3, lightgbm 4.6.0, torch 2.11.0. El archivo requirements.txt del repositorio fija todas las versiones para garantizar la reproducibilidad exacta del experimento.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 xml:space="preserve">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 xml:space="preserve">Armstrong, J. S. (2001). </w:t>
      </w:r>
      <w:r>
        <w:rPr>
          <w:i/>
        </w:rPr>
        <w:t xml:space="preserve">Principles of forecasting: A handbook for researchers and practitioners.</w:t>
      </w:r>
      <w:r>
        <w:t xml:space="preserve"> Kluwer Academic Publishers. https://doi.org/10.1007/978-0-306-47630-3</w:t>
      </w:r>
    </w:p>
    <w:p>
      <w:pPr>
        <w:pStyle w:val="Referenciasbibliogrficas"/>
      </w:pPr>
      <w:r>
        <w:t xml:space="preserve">Bergmeir, C., &amp; Hyndman, R. J. (2012). On the use of cross-validation for time series predictor evaluation. </w:t>
      </w:r>
      <w:r>
        <w:rPr>
          <w:i/>
        </w:rPr>
        <w:t xml:space="preserve">Information Sciences, 191,</w:t>
      </w:r>
      <w:r>
        <w:t xml:space="preserve"> 192–203. https://doi.org/10.1016/j.ins.2011.12.028</w:t>
      </w:r>
    </w:p>
    <w:p>
      <w:pPr>
        <w:pStyle w:val="Referenciasbibliogrficas"/>
      </w:pPr>
      <w:r>
        <w:t xml:space="preserve">Box, G. E. P., Jenkins, G. M., Reinsel, G. C., &amp; Ljung, G. M. (2015). </w:t>
      </w:r>
      <w:r>
        <w:rPr>
          <w:i/>
        </w:rPr>
        <w:t xml:space="preserve">Time series analysis: Forecasting and control</w:t>
      </w:r>
      <w:r>
        <w:t xml:space="preserve"> (5th ed.). Wiley.</w:t>
      </w:r>
    </w:p>
    <w:p>
      <w:pPr>
        <w:pStyle w:val="Referenciasbibliogrficas"/>
      </w:pPr>
      <w:r>
        <w:t xml:space="preserve">Cerqueira, V., Torgo, L., &amp; Mozetič, I. (2020). Evaluating time series forecasting models: An empirical study on performance estimation methods. </w:t>
      </w:r>
      <w:r>
        <w:rPr>
          <w:i/>
        </w:rPr>
        <w:t xml:space="preserve">Machine Learning, 109,</w:t>
      </w:r>
      <w:r>
        <w:t xml:space="preserve"> 1997–2028. https://doi.org/10.1007/s10994-020-05910-7</w:t>
      </w:r>
    </w:p>
    <w:p>
      <w:pPr>
        <w:pStyle w:val="Referenciasbibliogrficas"/>
      </w:pPr>
      <w:r>
        <w:t xml:space="preserve">Cerqueira, V., Torgo, L., &amp; Soares, C. (2022). A case study comparing machine learning with statistical methods for time series forecasting: Size matters. </w:t>
      </w:r>
      <w:r>
        <w:rPr>
          <w:i/>
        </w:rPr>
        <w:t xml:space="preserve">Journal of Intelligent Information Systems, 59(2),</w:t>
      </w:r>
      <w:r>
        <w:t xml:space="preserve"> 415–433. https://doi.org/10.1007/s10844-022-00713-9</w:t>
      </w:r>
    </w:p>
    <w:p>
      <w:pPr>
        <w:pStyle w:val="Referenciasbibliogrficas"/>
      </w:pPr>
      <w:r>
        <w:t xml:space="preserve">Doran, G. T. (1981). There’s a S.M.A.R.T. way to write management’s goals and objectives. </w:t>
      </w:r>
      <w:r>
        <w:rPr>
          <w:i/>
        </w:rPr>
        <w:t xml:space="preserve">Management Review, 70(11),</w:t>
      </w:r>
      <w:r>
        <w:t xml:space="preserve"> 35–36.</w:t>
      </w:r>
    </w:p>
    <w:p>
      <w:pPr>
        <w:pStyle w:val="Referenciasbibliogrficas"/>
      </w:pPr>
      <w:r>
        <w:t xml:space="preserve">Fildes, R., Ma, S., &amp; Kolassa, S. (2022). Retail forecasting: Research and practice. </w:t>
      </w:r>
      <w:r>
        <w:rPr>
          <w:i/>
        </w:rPr>
        <w:t xml:space="preserve">International Journal of Forecasting, 38(4),</w:t>
      </w:r>
      <w:r>
        <w:t xml:space="preserve"> 1283–1318. https://doi.org/10.1016/j.ijforecast.2019.06.004</w:t>
      </w:r>
    </w:p>
    <w:p>
      <w:pPr>
        <w:pStyle w:val="Referenciasbibliogrficas"/>
      </w:pPr>
      <w:r>
        <w:t xml:space="preserve">Garza, A., Canseco, M. M., Challú, C., &amp; Olivares, K. G. (2022). StatsForecast: Lightning fast forecasting with statistical and econometric models. arXiv:2207.03175. https://arxiv.org/abs/2207.03175</w:t>
      </w:r>
    </w:p>
    <w:p>
      <w:pPr>
        <w:pStyle w:val="Referenciasbibliogrficas"/>
      </w:pPr>
      <w:r>
        <w:t xml:space="preserve">Hyndman, R. J., &amp; Athanasopoulos, G. (2021). </w:t>
      </w:r>
      <w:r>
        <w:rPr>
          <w:i/>
        </w:rPr>
        <w:t xml:space="preserve">Forecasting: Principles and practice</w:t>
      </w:r>
      <w:r>
        <w:t xml:space="preserve"> (3.ª ed.). OTexts. https://otexts.com/fpp3/</w:t>
      </w:r>
    </w:p>
    <w:p>
      <w:pPr>
        <w:pStyle w:val="Referenciasbibliogrficas"/>
      </w:pPr>
      <w:r>
        <w:t xml:space="preserve">Januschowski, T., Wang, Y., Torkkola, K., Erkkilä, T., Hasson, H., &amp; Gasthaus, J. (2020). Forecasting with trees. </w:t>
      </w:r>
      <w:r>
        <w:rPr>
          <w:i/>
        </w:rPr>
        <w:t xml:space="preserve">International Journal of Forecasting, 36(1),</w:t>
      </w:r>
      <w:r>
        <w:t xml:space="preserve"> 167–173. https://doi.org/10.1016/j.ijforecast.2019.10.004</w:t>
      </w:r>
    </w:p>
    <w:p>
      <w:pPr>
        <w:pStyle w:val="Referenciasbibliogrficas"/>
      </w:pPr>
      <w:r>
        <w:t xml:space="preserve">Ke, G., Meng, Q., Finley, T., Wang, T., Chen, W., Ma, W., Ye, Q., &amp; Liu, T. Y. (2017). LightGBM: A highly efficient gradient boosting decision tree. </w:t>
      </w:r>
      <w:r>
        <w:rPr>
          <w:i/>
        </w:rPr>
        <w:t xml:space="preserve">Advances in Neural Information Processing Systems, 30,</w:t>
      </w:r>
      <w:r>
        <w:t xml:space="preserve"> 3146–3154.</w:t>
      </w:r>
    </w:p>
    <w:p>
      <w:pPr>
        <w:pStyle w:val="Referenciasbibliogrficas"/>
      </w:pPr>
      <w:r>
        <w:t xml:space="preserve">Kolassa, S. (2022). Why the «bet» point forecast depends on the error or accuracy measure. En M. Gilliland, L. Tashman y U. Sglavo (Eds.), </w:t>
      </w:r>
      <w:r>
        <w:rPr>
          <w:i/>
        </w:rPr>
        <w:t xml:space="preserve">Business forecasting: Practical problems and solutions</w:t>
      </w:r>
      <w:r>
        <w:t xml:space="preserve"> (pp. 113–122). Wiley.</w:t>
      </w:r>
    </w:p>
    <w:p>
      <w:pPr>
        <w:pStyle w:val="Referenciasbibliogrficas"/>
      </w:pPr>
      <w:r>
        <w:t xml:space="preserve">Lim, B., Arık, S. Ö., Loeff, N., &amp; Pfister, T. (2021). Temporal fusion transformers for interpretable multi-horizon time series forecasting. </w:t>
      </w:r>
      <w:r>
        <w:rPr>
          <w:i/>
        </w:rPr>
        <w:t xml:space="preserve">International Journal of Forecasting, 37(4),</w:t>
      </w:r>
      <w:r>
        <w:t xml:space="preserve"> 1748–1764. https://doi.org/10.1016/j.ijforecast.2021.03.012</w:t>
      </w:r>
    </w:p>
    <w:p>
      <w:pPr>
        <w:pStyle w:val="Referenciasbibliogrficas"/>
      </w:pPr>
      <w:r>
        <w:t xml:space="preserve">Lim, B., &amp; Zohren, S. (2021). Time-series forecasting with deep learning: A survey. </w:t>
      </w:r>
      <w:r>
        <w:rPr>
          <w:i/>
        </w:rPr>
        <w:t xml:space="preserve">Philosophical Transactions of the Royal Society A, 379(2194),</w:t>
      </w:r>
      <w:r>
        <w:t xml:space="preserve"> 20200209. https://doi.org/10.1098/rsta.2020.0209</w:t>
      </w:r>
    </w:p>
    <w:p>
      <w:pPr>
        <w:pStyle w:val="Referenciasbibliogrficas"/>
      </w:pPr>
      <w:r>
        <w:t xml:space="preserve">Makridakis, S., Spiliotis, E., &amp; Assimakopoulos, V. (2020). The M4 competition: 100,000 time series and 61 forecasting methods. </w:t>
      </w:r>
      <w:r>
        <w:rPr>
          <w:i/>
        </w:rPr>
        <w:t xml:space="preserve">International Journal of Forecasting, 36(1),</w:t>
      </w:r>
      <w:r>
        <w:t xml:space="preserve"> 54–74. https://doi.org/10.1016/j.ijforecast.2019.04.014</w:t>
      </w:r>
    </w:p>
    <w:p>
      <w:pPr>
        <w:pStyle w:val="Referenciasbibliogrficas"/>
      </w:pPr>
      <w:r>
        <w:t xml:space="preserve">Makridakis, S., Spiliotis, E., &amp; Assimakopoulos, V. (2022). M5 accuracy competition: Results, findings, and conclusions. </w:t>
      </w:r>
      <w:r>
        <w:rPr>
          <w:i/>
        </w:rPr>
        <w:t xml:space="preserve">International Journal of Forecasting, 38(4),</w:t>
      </w:r>
      <w:r>
        <w:t xml:space="preserve"> 1346–1364. https://doi.org/10.1016/j.ijforecast.2021.11.013</w:t>
      </w:r>
    </w:p>
    <w:p>
      <w:pPr>
        <w:pStyle w:val="Referenciasbibliogrficas"/>
      </w:pPr>
      <w:r>
        <w:t xml:space="preserve">Makridakis, S., Spiliotis, E., Hollyman, R., Petropoulos, F., Swanson, N., &amp; Gaba, A. (2025). The M6 forecasting competition: Bridging the gap between forecasting and investment decisions. </w:t>
      </w:r>
      <w:r>
        <w:rPr>
          <w:i/>
        </w:rPr>
        <w:t xml:space="preserve">International Journal of Forecasting, 41(4),</w:t>
      </w:r>
      <w:r>
        <w:t xml:space="preserve"> 1315–1354. https://doi.org/10.1016/j.ijforecast.2024.11.002</w:t>
      </w:r>
    </w:p>
    <w:p>
      <w:pPr>
        <w:pStyle w:val="Referenciasbibliogrficas"/>
      </w:pPr>
      <w:r>
        <w:t xml:space="preserve">Oreshkin, B. N., Carpov, D., Chapados, N., &amp; Bengio, Y. (2020). N-BEATS: Neural basis expansion analysis for interpretable time series forecasting. En </w:t>
      </w:r>
      <w:r>
        <w:rPr>
          <w:i/>
        </w:rPr>
        <w:t xml:space="preserve">Proceedings of the 8th International Conference on Learning Representations</w:t>
      </w:r>
      <w:r>
        <w:t xml:space="preserve"> (ICLR 2020). https://openreview.net/forum?id=r1ecqn4YwB</w:t>
      </w:r>
    </w:p>
    <w:p>
      <w:pPr>
        <w:pStyle w:val="Referenciasbibliogrficas"/>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i/>
        </w:rPr>
        <w:t xml:space="preserve">Advances in Neural Information Processing Systems, 32,</w:t>
      </w:r>
      <w:r>
        <w:t xml:space="preserve"> 8024–8035.</w:t>
      </w:r>
    </w:p>
    <w:p>
      <w:pPr>
        <w:pStyle w:val="Referenciasbibliogrficas"/>
      </w:pPr>
      <w:r>
        <w:t xml:space="preserve">Petropoulos, F., Apiletti, D., Assimakopoulos, V., Babai, M. Z., Barrow, D. K., Ben Taieb, S., Bergmeir, C., Bessa, R. J., Bijak, J., Boylan, J. E., Browell, J., et al. (2022). Forecasting: Theory and practice. </w:t>
      </w:r>
      <w:r>
        <w:rPr>
          <w:i/>
        </w:rPr>
        <w:t xml:space="preserve">International Journal of Forecasting, 38(3),</w:t>
      </w:r>
      <w:r>
        <w:t xml:space="preserve"> 705–871. https://doi.org/10.1016/j.ijforecast.2021.11.001</w:t>
      </w:r>
    </w:p>
    <w:p>
      <w:pPr>
        <w:pStyle w:val="Referenciasbibliogrficas"/>
      </w:pPr>
      <w:r>
        <w:t xml:space="preserve">Rahimikia, E., Ni, H., &amp; Wang, W. (2025). Re(Visiting) time series foundation models in finance. arXiv:2511.18578. https://arxiv.org/abs/2511.18578</w:t>
      </w:r>
    </w:p>
    <w:p>
      <w:pPr>
        <w:pStyle w:val="Referenciasbibliogrficas"/>
      </w:pPr>
      <w:r>
        <w:t xml:space="preserve">Seabold, S., &amp; Perktold, J. (2010). Statsmodels: Econometric and statistical modeling with Python. En </w:t>
      </w:r>
      <w:r>
        <w:rPr>
          <w:i/>
        </w:rPr>
        <w:t xml:space="preserve">Proceedings of the 9th Python in Science Conference</w:t>
      </w:r>
      <w:r>
        <w:t xml:space="preserve"> (pp. 92–96). https://doi.org/10.25080/Majora-92bf1922-011</w:t>
      </w:r>
    </w:p>
    <w:p>
      <w:pPr>
        <w:pStyle w:val="Referenciasbibliogrficas"/>
      </w:pPr>
      <w:r>
        <w:t xml:space="preserve">Zhou, H., Zhang, S., Peng, J., Zhang, S., Li, J., Xiong, H., &amp; Zhang, W. (2021). Informer: Beyond efficient transformer for long sequence time-series forecasting. </w:t>
      </w:r>
      <w:r>
        <w:rPr>
          <w:i/>
        </w:rPr>
        <w:t xml:space="preserve">Proceedings of the AAAI Conference on Artificial Intelligence, 35(12),</w:t>
      </w:r>
      <w:r>
        <w:t xml:space="preserve"> 11106–11115. https://doi.org/10.1609/aaai.v35i12.17325</w:t>
      </w:r>
    </w:p>
    <w:p>
      <w:pPr>
        <w:pStyle w:val="Referenciasbibliogrficas"/>
      </w:pPr>
      <w:r>
        <w:t xml:space="preserve">Zhu, Z., Chen, H., Qu, Q., &amp; Chung, V. (2025). FinCast: A foundation model for financial time-series forecasting. En </w:t>
      </w:r>
      <w:r>
        <w:rPr>
          <w:i/>
        </w:rPr>
        <w:t xml:space="preserve">Proceedings of the 34th ACM International Conference on Information and Knowledge Management</w:t>
      </w:r>
      <w:r>
        <w:t xml:space="preserve"> (CIKM 2025). https://doi.org/10.1145/3746252.3761261</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