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2148E39D" w:rsidR="003161CC" w:rsidRDefault="0068347A" w:rsidP="001F3E47">
      <w:pPr>
        <w:pStyle w:val="Title"/>
        <w:jc w:val="center"/>
      </w:pPr>
      <w:r>
        <w:t>A Framework for Indirect Reciprocity</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2FE05B9B" w14:textId="4D271F67" w:rsidR="00FB395F" w:rsidRDefault="00FB395F" w:rsidP="00FB395F">
      <w:pPr>
        <w:pStyle w:val="Heading2"/>
      </w:pPr>
      <w:bookmarkStart w:id="0" w:name="_GoBack"/>
      <w:bookmarkEnd w:id="0"/>
      <w:r>
        <w:t>Parameters to be Varied</w:t>
      </w:r>
    </w:p>
    <w:p w14:paraId="70EC80F1" w14:textId="06D0F148" w:rsidR="00FB395F" w:rsidRDefault="00FB395F" w:rsidP="00FB395F">
      <w:pPr>
        <w:pStyle w:val="Body"/>
      </w:pPr>
      <w:r>
        <w:t>Benefit b</w:t>
      </w:r>
    </w:p>
    <w:p w14:paraId="3C1B852D" w14:textId="5C88BFC0" w:rsidR="00FB395F" w:rsidRDefault="00FB395F" w:rsidP="00FB395F">
      <w:pPr>
        <w:pStyle w:val="Body"/>
      </w:pPr>
      <w:r>
        <w:t>Cost c</w:t>
      </w:r>
    </w:p>
    <w:p w14:paraId="18C51A25" w14:textId="4DDB9C5A" w:rsidR="00FB395F" w:rsidRDefault="00FB395F" w:rsidP="00FB395F">
      <w:pPr>
        <w:pStyle w:val="Body"/>
      </w:pPr>
      <w:r>
        <w:t xml:space="preserve">Number of interaction per generation or alternatively the probability that another </w:t>
      </w:r>
      <w:r w:rsidR="00A3407B">
        <w:t>interaction</w:t>
      </w:r>
      <w:r>
        <w:t xml:space="preserve"> will occur</w:t>
      </w:r>
    </w:p>
    <w:p w14:paraId="465EF475" w14:textId="46085692" w:rsidR="00FB395F" w:rsidRDefault="007359A7" w:rsidP="00FB395F">
      <w:pPr>
        <w:pStyle w:val="Body"/>
      </w:pPr>
      <w:r>
        <w:t>Mutation rate</w:t>
      </w:r>
    </w:p>
    <w:p w14:paraId="25DA62AD" w14:textId="6DF88FD2" w:rsidR="007359A7" w:rsidRDefault="007359A7" w:rsidP="00FB395F">
      <w:pPr>
        <w:pStyle w:val="Body"/>
      </w:pPr>
      <w:r>
        <w:t>Execution errors</w:t>
      </w:r>
    </w:p>
    <w:p w14:paraId="48EE0311" w14:textId="73B253A9" w:rsidR="007359A7" w:rsidRPr="00FB395F" w:rsidRDefault="007359A7" w:rsidP="00FB395F">
      <w:pPr>
        <w:pStyle w:val="Body"/>
      </w:pPr>
      <w:r>
        <w:t>Perception errors</w:t>
      </w:r>
    </w:p>
    <w:p w14:paraId="0B8B4799" w14:textId="77777777" w:rsidR="00AE22D8" w:rsidRDefault="00AE22D8" w:rsidP="00851F3A">
      <w:pPr>
        <w:pStyle w:val="Body"/>
      </w:pPr>
    </w:p>
    <w:p w14:paraId="23EAFB42" w14:textId="754F427A" w:rsidR="0043014A" w:rsidRDefault="0043014A" w:rsidP="00851F3A">
      <w:pPr>
        <w:pStyle w:val="Body"/>
      </w:pPr>
      <w:r>
        <w:t xml:space="preserve">Non-random assortment (kin selection) is required for cooperation to overtake a population of defectors.  If individuals get to seek out their partners can they acquire </w:t>
      </w:r>
      <w:r w:rsidR="00B77EF0">
        <w:t>the knowledge necessary to sort</w:t>
      </w:r>
      <w:r>
        <w:t xml:space="preserve"> themselves into groups with </w:t>
      </w:r>
      <w:proofErr w:type="gramStart"/>
      <w:r>
        <w:t>cooperators.</w:t>
      </w:r>
      <w:proofErr w:type="gramEnd"/>
    </w:p>
    <w:p w14:paraId="5D1E3D5B" w14:textId="2E9223FA" w:rsidR="00665A53" w:rsidRDefault="00582F6B" w:rsidP="00851F3A">
      <w:pPr>
        <w:pStyle w:val="Body"/>
      </w:pPr>
      <w:r>
        <w:t>Researchers have taken different approaches to investigate the evolutionary stability of various strategies often introducing subtle differences into th</w:t>
      </w:r>
      <w:r w:rsidR="001A4A7F">
        <w:t>e overall basic framework.  These</w:t>
      </w:r>
      <w:r>
        <w:t xml:space="preserve"> small variations often make it difficult to directly compare results published by different researchers.</w:t>
      </w:r>
    </w:p>
    <w:p w14:paraId="6C24B149" w14:textId="10C21A7B" w:rsidR="00665A53" w:rsidRDefault="00083B6C" w:rsidP="00851F3A">
      <w:pPr>
        <w:pStyle w:val="Body"/>
      </w:pPr>
      <w:r>
        <w:t>There are variations on exactly how the population is evolved after each round.</w:t>
      </w:r>
    </w:p>
    <w:p w14:paraId="4D5FB5DE" w14:textId="65D50DFA" w:rsidR="00D844C1" w:rsidRDefault="00D844C1" w:rsidP="00B375CF">
      <w:pPr>
        <w:pStyle w:val="Body"/>
      </w:pPr>
      <w:r>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lastRenderedPageBreak/>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rsidR="00CE73A4">
        <w:t>[6]</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rsidR="00CE73A4">
        <w:t>[8]</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Sugden </w:t>
      </w:r>
      <w:r>
        <w:fldChar w:fldCharType="begin"/>
      </w:r>
      <w:r>
        <w:instrText xml:space="preserve"> REF _Ref315843188 \r \h </w:instrText>
      </w:r>
      <w:r>
        <w:fldChar w:fldCharType="separate"/>
      </w:r>
      <w:r w:rsidR="00CE73A4">
        <w:t>[5]</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rsidR="00CE73A4">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proofErr w:type="gramStart"/>
      <w:r>
        <w:t>of</w:t>
      </w:r>
      <w:proofErr w:type="gramEnd"/>
      <w:r>
        <w:t xml:space="preserve">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emergedhas led to a refinement and more precise definition of the framework originally described in </w:t>
      </w:r>
      <w:r>
        <w:fldChar w:fldCharType="begin"/>
      </w:r>
      <w:r>
        <w:instrText xml:space="preserve"> REF _Ref315984237 \r \h </w:instrText>
      </w:r>
      <w:r>
        <w:fldChar w:fldCharType="separate"/>
      </w:r>
      <w:r w:rsidR="00CE73A4">
        <w:t>[3]</w:t>
      </w:r>
      <w:r>
        <w:fldChar w:fldCharType="end"/>
      </w:r>
      <w:r>
        <w:t>.</w:t>
      </w:r>
    </w:p>
    <w:p w14:paraId="54810676" w14:textId="3A0C9221" w:rsidR="006232E5" w:rsidRDefault="006232E5" w:rsidP="00FF30D2">
      <w:pPr>
        <w:pStyle w:val="Body"/>
      </w:pPr>
      <w:proofErr w:type="gramStart"/>
      <w:r>
        <w:t>tracking</w:t>
      </w:r>
      <w:proofErr w:type="gramEnd"/>
      <w:r>
        <w:t xml:space="preserve"> scales described above the authors investigated a stra</w:t>
      </w:r>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authors propose a simple assessment rule that is now referred to as </w:t>
      </w:r>
      <w:r w:rsidR="00812D13" w:rsidRPr="00812D13">
        <w:rPr>
          <w:i/>
        </w:rPr>
        <w:t>scoring</w:t>
      </w:r>
      <w:r w:rsidR="00812D13">
        <w:t>.</w:t>
      </w:r>
      <w:r w:rsidR="009C0124">
        <w:t xml:space="preserve">  The scorin</w:t>
      </w:r>
      <w:r w:rsidR="00C14041">
        <w:t xml:space="preserve">g </w:t>
      </w:r>
      <w:r w:rsidR="00C14041">
        <w:lastRenderedPageBreak/>
        <w:t xml:space="preserve">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 xml:space="preserve">When the agent takes an action that is deemed to be “bad”, </w:t>
      </w:r>
      <w:proofErr w:type="gramStart"/>
      <w:r>
        <w:t>its score is reduced by one</w:t>
      </w:r>
      <w:proofErr w:type="gramEnd"/>
      <w:r>
        <w:t xml:space="preserv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w:t>
      </w:r>
      <w:proofErr w:type="gramStart"/>
      <w:r>
        <w:t>the</w:t>
      </w:r>
      <w:proofErr w:type="gramEnd"/>
      <w:r>
        <w:t xml:space="preserve"> authors do consider strategies that take into account the recipient’s reputation)</w:t>
      </w:r>
    </w:p>
    <w:p w14:paraId="68CDF136" w14:textId="3FAB8700" w:rsidR="00EE0BB7" w:rsidRDefault="00EE0BB7" w:rsidP="00EC610E">
      <w:pPr>
        <w:pStyle w:val="Body"/>
      </w:pPr>
      <w:r>
        <w:t>(</w:t>
      </w:r>
      <w:proofErr w:type="gramStart"/>
      <w:r>
        <w:t>briefly</w:t>
      </w:r>
      <w:proofErr w:type="gramEnd"/>
      <w:r>
        <w:t xml:space="preserve"> describe results)</w:t>
      </w: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CE73A4">
        <w:t>[5]</w:t>
      </w:r>
      <w:r w:rsidR="00AF4EA2">
        <w:fldChar w:fldCharType="end"/>
      </w:r>
      <w:r w:rsidR="00AF4EA2">
        <w:fldChar w:fldCharType="begin"/>
      </w:r>
      <w:r w:rsidR="00AF4EA2">
        <w:instrText xml:space="preserve"> REF _Ref315669731 \r \h </w:instrText>
      </w:r>
      <w:r w:rsidR="00AF4EA2">
        <w:fldChar w:fldCharType="separate"/>
      </w:r>
      <w:r w:rsidR="00CE73A4">
        <w:t>[7]</w:t>
      </w:r>
      <w:r w:rsidR="00AF4EA2">
        <w:fldChar w:fldCharType="end"/>
      </w:r>
      <w:r w:rsidR="00A45177">
        <w:fldChar w:fldCharType="begin"/>
      </w:r>
      <w:r w:rsidR="00A45177">
        <w:instrText xml:space="preserve"> REF _Ref315669884 \r \h </w:instrText>
      </w:r>
      <w:r w:rsidR="00A45177">
        <w:fldChar w:fldCharType="separate"/>
      </w:r>
      <w:r w:rsidR="00CE73A4">
        <w:t>[8]</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CE73A4">
        <w:t>[6]</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CE73A4">
        <w:t>[8]</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lastRenderedPageBreak/>
        <w:t xml:space="preserve">An alternative strategy, attributed to Sugden </w:t>
      </w:r>
      <w:r>
        <w:fldChar w:fldCharType="begin"/>
      </w:r>
      <w:r>
        <w:instrText xml:space="preserve"> REF _Ref315843188 \r \h </w:instrText>
      </w:r>
      <w:r>
        <w:fldChar w:fldCharType="separate"/>
      </w:r>
      <w:r w:rsidR="00CE73A4">
        <w:t>[5]</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027F40CC" w14:textId="021458A1" w:rsidR="006924DA" w:rsidRDefault="006924DA" w:rsidP="00EC610E">
      <w:pPr>
        <w:pStyle w:val="Body"/>
      </w:pPr>
      <w:r>
        <w:t xml:space="preserve">In </w:t>
      </w:r>
      <w:r>
        <w:fldChar w:fldCharType="begin"/>
      </w:r>
      <w:r>
        <w:instrText xml:space="preserve"> REF _Ref311293016 \r \h </w:instrText>
      </w:r>
      <w:r>
        <w:fldChar w:fldCharType="separate"/>
      </w:r>
      <w:r w:rsidR="00CE73A4">
        <w:t>[9]</w:t>
      </w:r>
      <w:r>
        <w:fldChar w:fldCharType="end"/>
      </w:r>
      <w:r>
        <w:t xml:space="preserve"> the authors analyze the evolutionary stability of all </w:t>
      </w:r>
      <w:proofErr w:type="gramStart"/>
      <w:r>
        <w:t>4096 assessment</w:t>
      </w:r>
      <w:proofErr w:type="gramEnd"/>
      <w:r>
        <w:t xml:space="preserve"> rule and action rule pairs.  The authors analyzed the evolutionary stability of each action rule given a fixed, shared assessment rule and publically known and shared reputation scores for agents.</w:t>
      </w:r>
      <w:r w:rsidR="000A65C5">
        <w:t xml:space="preserve">  Therefore, strategies do not need to compete against agents that have </w:t>
      </w:r>
      <w:proofErr w:type="gramStart"/>
      <w:r w:rsidR="000A65C5">
        <w:t>a</w:t>
      </w:r>
      <w:proofErr w:type="gramEnd"/>
      <w:r w:rsidR="000A65C5">
        <w:t xml:space="preserve"> alternative view of reputation.</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CE73A4">
        <w:t>[6]</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lastRenderedPageBreak/>
        <w:t>(</w:t>
      </w:r>
      <w:proofErr w:type="gramStart"/>
      <w:r>
        <w:t>perception</w:t>
      </w:r>
      <w:proofErr w:type="gramEnd"/>
      <w:r>
        <w:t xml:space="preserve">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rsidR="00CE73A4">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rsidR="00CE73A4">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rsidR="00CE73A4">
        <w:t>[8]</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CE73A4">
        <w:t>[6]</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lastRenderedPageBreak/>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rsidR="00CE73A4">
        <w:t>[13]</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r w:rsidRPr="00A25842">
        <w:rPr>
          <w:i/>
        </w:rPr>
        <w:t>j</w:t>
      </w:r>
      <w:r w:rsidRPr="00A25842">
        <w:rPr>
          <w:i/>
          <w:vertAlign w:val="superscript"/>
        </w:rPr>
        <w:t>th</w:t>
      </w:r>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r w:rsidRPr="004B3946">
        <w:rPr>
          <w:i/>
        </w:rPr>
        <w:t>a</w:t>
      </w:r>
      <w:r w:rsidRPr="004B3946">
        <w:rPr>
          <w:i/>
          <w:vertAlign w:val="subscript"/>
        </w:rPr>
        <w:t>ij</w:t>
      </w:r>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r w:rsidRPr="0072174F">
        <w:rPr>
          <w:i/>
        </w:rPr>
        <w:t>a</w:t>
      </w:r>
      <w:r w:rsidRPr="0072174F">
        <w:rPr>
          <w:i/>
          <w:vertAlign w:val="subscript"/>
        </w:rPr>
        <w:t>ij</w:t>
      </w:r>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w:t>
      </w:r>
      <w:proofErr w:type="gramStart"/>
      <w:r>
        <w:t>… ?</w:t>
      </w:r>
      <w:proofErr w:type="gramEnd"/>
      <w:r>
        <w:t>??</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rsidR="00CE73A4">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 w:name="_Ref310874251"/>
      <w:bookmarkStart w:id="2" w:name="_Ref307914287"/>
      <w:bookmarkStart w:id="3" w:name="_Ref315290921"/>
      <w:r w:rsidRPr="004451AD">
        <w:t>Axelrod, R., and W. D. Hamilton, “The evolution of cooperation,” Science, vol. 211, pp. 1390-1396</w:t>
      </w:r>
      <w:r>
        <w:t>, 1981</w:t>
      </w:r>
      <w:r w:rsidRPr="004451AD">
        <w:t>.</w:t>
      </w:r>
      <w:bookmarkEnd w:id="1"/>
    </w:p>
    <w:p w14:paraId="30CD0F37" w14:textId="77777777" w:rsidR="00E37F9D" w:rsidRDefault="00E37F9D" w:rsidP="00E37F9D">
      <w:pPr>
        <w:pStyle w:val="Reference"/>
      </w:pPr>
      <w:bookmarkStart w:id="4" w:name="_Ref311280158"/>
      <w:r>
        <w:t>Nowak, M. A., “Five Rules for the Evolution of Cooperation,” Science, vol. 314, pp. 1560-1563, 2006.</w:t>
      </w:r>
      <w:bookmarkEnd w:id="4"/>
    </w:p>
    <w:p w14:paraId="3FD70E66" w14:textId="3600C39B" w:rsidR="00EC610E" w:rsidRDefault="00EC610E" w:rsidP="00EC610E">
      <w:pPr>
        <w:pStyle w:val="Reference"/>
      </w:pPr>
      <w:bookmarkStart w:id="5" w:name="_Ref315984237"/>
      <w:r>
        <w:t>Nowak, M. A.,</w:t>
      </w:r>
      <w:r w:rsidR="00914C9F">
        <w:t xml:space="preserve"> and K. Sigmund,</w:t>
      </w:r>
      <w:r>
        <w:t xml:space="preserve"> “Evolution of indirect reciprocity by image scoring,” </w:t>
      </w:r>
      <w:r w:rsidRPr="00F471D3">
        <w:rPr>
          <w:i/>
        </w:rPr>
        <w:t>Nature</w:t>
      </w:r>
      <w:r>
        <w:t>, vol. 393, pp. 573-577, 1998.</w:t>
      </w:r>
      <w:bookmarkEnd w:id="2"/>
      <w:bookmarkEnd w:id="5"/>
    </w:p>
    <w:p w14:paraId="34640405" w14:textId="0DFA4FA3" w:rsidR="00914C9F" w:rsidRDefault="00870804" w:rsidP="00EC610E">
      <w:pPr>
        <w:pStyle w:val="Reference"/>
      </w:pPr>
      <w:bookmarkStart w:id="6" w:name="_Ref316591572"/>
      <w:r>
        <w:t xml:space="preserve">Nowak, M. A., and K. Sigmund, “The Dynamics of Indirect Reciprocity,” </w:t>
      </w:r>
      <w:r w:rsidRPr="00717BE0">
        <w:rPr>
          <w:i/>
        </w:rPr>
        <w:t>Journal of Theoretical Biology</w:t>
      </w:r>
      <w:r>
        <w:t>, vol. 194, pp. 561-574</w:t>
      </w:r>
      <w:r w:rsidR="009228C1">
        <w:t>, 1998</w:t>
      </w:r>
      <w:r>
        <w:t>.</w:t>
      </w:r>
      <w:bookmarkEnd w:id="6"/>
    </w:p>
    <w:p w14:paraId="678B915A" w14:textId="47856D54" w:rsidR="002C604A" w:rsidRDefault="002C604A" w:rsidP="00ED77CE">
      <w:pPr>
        <w:pStyle w:val="Reference"/>
      </w:pPr>
      <w:bookmarkStart w:id="7" w:name="_Ref315843188"/>
      <w:bookmarkStart w:id="8" w:name="_Ref315669729"/>
      <w:r>
        <w:t xml:space="preserve">Sugden, R., </w:t>
      </w:r>
      <w:r w:rsidRPr="002C604A">
        <w:rPr>
          <w:i/>
        </w:rPr>
        <w:t>The economies of rights, co-operation and welfare</w:t>
      </w:r>
      <w:r>
        <w:t>, Oxford, UK: Basil Blackwell, 1986.</w:t>
      </w:r>
      <w:bookmarkEnd w:id="7"/>
    </w:p>
    <w:p w14:paraId="18A82DE2" w14:textId="4A25CEEB" w:rsidR="00ED77CE" w:rsidRDefault="00ED77CE" w:rsidP="00ED77CE">
      <w:pPr>
        <w:pStyle w:val="Reference"/>
      </w:pPr>
      <w:bookmarkStart w:id="9"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3"/>
      <w:bookmarkEnd w:id="8"/>
      <w:bookmarkEnd w:id="9"/>
    </w:p>
    <w:p w14:paraId="23F6F648" w14:textId="4E056166" w:rsidR="00717BE0" w:rsidRDefault="00717BE0" w:rsidP="00ED77CE">
      <w:pPr>
        <w:pStyle w:val="Reference"/>
      </w:pPr>
      <w:bookmarkStart w:id="10" w:name="_Ref315669731"/>
      <w:r>
        <w:t xml:space="preserve">Panchanathan, K., and R. Boyd, “A tale of two defectors: the importance of standing for evolution of indirect reciprocity,” </w:t>
      </w:r>
      <w:r w:rsidRPr="00717BE0">
        <w:rPr>
          <w:i/>
        </w:rPr>
        <w:t>Journal of Theoretical Biology</w:t>
      </w:r>
      <w:r>
        <w:t>, vol. 224, pp. 115-126, 2003.</w:t>
      </w:r>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r>
        <w:t xml:space="preserve">Ohtsuki, H., and Y. Iwasa,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2"/>
    </w:p>
    <w:p w14:paraId="6FA8C94D" w14:textId="1E927E65" w:rsidR="008C27E5" w:rsidRDefault="008C27E5" w:rsidP="008C27E5">
      <w:pPr>
        <w:pStyle w:val="Reference"/>
      </w:pPr>
      <w:bookmarkStart w:id="13" w:name="_Ref311294728"/>
      <w:r>
        <w:t xml:space="preserve">Ohtsuki, H., and Y. Iwasa, “The leading eight: Social norms that can maintain cooperation by indirect reciprocity,” </w:t>
      </w:r>
      <w:r w:rsidRPr="00B775C4">
        <w:rPr>
          <w:i/>
        </w:rPr>
        <w:t>Journal of Theoretical Biology</w:t>
      </w:r>
      <w:r>
        <w:t>, vol. 239, pp. 435-444, 2006.</w:t>
      </w:r>
      <w:bookmarkEnd w:id="13"/>
    </w:p>
    <w:p w14:paraId="1D6F98B3" w14:textId="6AFCA1EC" w:rsidR="00C7247A" w:rsidRDefault="00C7247A" w:rsidP="00636006">
      <w:pPr>
        <w:pStyle w:val="Reference"/>
      </w:pPr>
      <w:bookmarkStart w:id="14" w:name="_Ref316587568"/>
      <w:r>
        <w:lastRenderedPageBreak/>
        <w:t xml:space="preserve">Ohtsuki, H., and Y. Iwasa, “Global analyses of evolutionary dynamics and exhaustive search for social norms that maintain cooperation by reputation, “ </w:t>
      </w:r>
      <w:r w:rsidRPr="00B775C4">
        <w:rPr>
          <w:i/>
        </w:rPr>
        <w:t>Journal of Theoretical Biology</w:t>
      </w:r>
      <w:r>
        <w:t>, vol. 244, pp. 518-531, 2007.</w:t>
      </w:r>
      <w:bookmarkEnd w:id="14"/>
    </w:p>
    <w:p w14:paraId="130572B4" w14:textId="329AB40C" w:rsidR="00F516C1" w:rsidRPr="00ED77CE" w:rsidRDefault="003D22D6" w:rsidP="00F516C1">
      <w:pPr>
        <w:pStyle w:val="Reference"/>
      </w:pPr>
      <w:bookmarkStart w:id="15"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5"/>
    </w:p>
    <w:p w14:paraId="0A8FCBC6" w14:textId="23583BCA" w:rsidR="001D204E" w:rsidRPr="001D204E" w:rsidRDefault="00191D2D" w:rsidP="002D32CE">
      <w:pPr>
        <w:pStyle w:val="Reference"/>
      </w:pPr>
      <w:bookmarkStart w:id="16"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6"/>
    </w:p>
    <w:sectPr w:rsidR="001D204E"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346B1F" w:rsidRDefault="00346B1F" w:rsidP="00144D66">
      <w:r>
        <w:separator/>
      </w:r>
    </w:p>
  </w:endnote>
  <w:endnote w:type="continuationSeparator" w:id="0">
    <w:p w14:paraId="19D566D8" w14:textId="77777777" w:rsidR="00346B1F" w:rsidRDefault="00346B1F"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346B1F" w:rsidRDefault="00346B1F"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6BFC">
      <w:rPr>
        <w:rStyle w:val="PageNumber"/>
        <w:noProof/>
      </w:rPr>
      <w:t>2</w:t>
    </w:r>
    <w:r>
      <w:rPr>
        <w:rStyle w:val="PageNumber"/>
      </w:rPr>
      <w:fldChar w:fldCharType="end"/>
    </w:r>
  </w:p>
  <w:p w14:paraId="609A8E7D" w14:textId="0356E446" w:rsidR="00346B1F" w:rsidRDefault="00346B1F"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346B1F" w:rsidRDefault="00346B1F" w:rsidP="00144D66">
      <w:r>
        <w:separator/>
      </w:r>
    </w:p>
  </w:footnote>
  <w:footnote w:type="continuationSeparator" w:id="0">
    <w:p w14:paraId="183F9445" w14:textId="77777777" w:rsidR="00346B1F" w:rsidRDefault="00346B1F" w:rsidP="00144D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0"/>
  </w:num>
  <w:num w:numId="4">
    <w:abstractNumId w:val="8"/>
  </w:num>
  <w:num w:numId="5">
    <w:abstractNumId w:val="9"/>
  </w:num>
  <w:num w:numId="6">
    <w:abstractNumId w:val="2"/>
  </w:num>
  <w:num w:numId="7">
    <w:abstractNumId w:val="19"/>
  </w:num>
  <w:num w:numId="8">
    <w:abstractNumId w:val="6"/>
  </w:num>
  <w:num w:numId="9">
    <w:abstractNumId w:val="17"/>
  </w:num>
  <w:num w:numId="10">
    <w:abstractNumId w:val="3"/>
  </w:num>
  <w:num w:numId="11">
    <w:abstractNumId w:val="10"/>
  </w:num>
  <w:num w:numId="12">
    <w:abstractNumId w:val="5"/>
  </w:num>
  <w:num w:numId="13">
    <w:abstractNumId w:val="1"/>
  </w:num>
  <w:num w:numId="14">
    <w:abstractNumId w:val="15"/>
  </w:num>
  <w:num w:numId="15">
    <w:abstractNumId w:val="7"/>
  </w:num>
  <w:num w:numId="16">
    <w:abstractNumId w:val="20"/>
  </w:num>
  <w:num w:numId="17">
    <w:abstractNumId w:val="21"/>
  </w:num>
  <w:num w:numId="18">
    <w:abstractNumId w:val="18"/>
  </w:num>
  <w:num w:numId="19">
    <w:abstractNumId w:val="11"/>
  </w:num>
  <w:num w:numId="20">
    <w:abstractNumId w:val="14"/>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26E0"/>
    <w:rsid w:val="00015F5B"/>
    <w:rsid w:val="00020446"/>
    <w:rsid w:val="00023BF9"/>
    <w:rsid w:val="00023F8C"/>
    <w:rsid w:val="00025C0B"/>
    <w:rsid w:val="00031060"/>
    <w:rsid w:val="00031892"/>
    <w:rsid w:val="00034A55"/>
    <w:rsid w:val="000409DD"/>
    <w:rsid w:val="00041AFF"/>
    <w:rsid w:val="00047B1C"/>
    <w:rsid w:val="000504BA"/>
    <w:rsid w:val="00050AE4"/>
    <w:rsid w:val="00051FC5"/>
    <w:rsid w:val="0005370A"/>
    <w:rsid w:val="00055E64"/>
    <w:rsid w:val="00060D7F"/>
    <w:rsid w:val="00061E22"/>
    <w:rsid w:val="00062557"/>
    <w:rsid w:val="00067D02"/>
    <w:rsid w:val="00073162"/>
    <w:rsid w:val="00080803"/>
    <w:rsid w:val="00081A87"/>
    <w:rsid w:val="0008328B"/>
    <w:rsid w:val="00083B6C"/>
    <w:rsid w:val="00084107"/>
    <w:rsid w:val="00087B47"/>
    <w:rsid w:val="00090381"/>
    <w:rsid w:val="00091ACA"/>
    <w:rsid w:val="00093073"/>
    <w:rsid w:val="00093D54"/>
    <w:rsid w:val="000A37BD"/>
    <w:rsid w:val="000A584D"/>
    <w:rsid w:val="000A65C5"/>
    <w:rsid w:val="000B1DCF"/>
    <w:rsid w:val="000B25B1"/>
    <w:rsid w:val="000C06BE"/>
    <w:rsid w:val="000C34E0"/>
    <w:rsid w:val="000D23AE"/>
    <w:rsid w:val="000D29FC"/>
    <w:rsid w:val="000D4CCC"/>
    <w:rsid w:val="000E6352"/>
    <w:rsid w:val="000E6489"/>
    <w:rsid w:val="000E7E28"/>
    <w:rsid w:val="000F3150"/>
    <w:rsid w:val="000F6446"/>
    <w:rsid w:val="00100067"/>
    <w:rsid w:val="0010089B"/>
    <w:rsid w:val="001102C8"/>
    <w:rsid w:val="001149EC"/>
    <w:rsid w:val="00127369"/>
    <w:rsid w:val="00127F33"/>
    <w:rsid w:val="00130D65"/>
    <w:rsid w:val="0013144E"/>
    <w:rsid w:val="00133374"/>
    <w:rsid w:val="00134B34"/>
    <w:rsid w:val="0014229F"/>
    <w:rsid w:val="00142C14"/>
    <w:rsid w:val="00142CE7"/>
    <w:rsid w:val="00144D66"/>
    <w:rsid w:val="00155F5D"/>
    <w:rsid w:val="00161C98"/>
    <w:rsid w:val="00163665"/>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A0039"/>
    <w:rsid w:val="001A4A7F"/>
    <w:rsid w:val="001B03B4"/>
    <w:rsid w:val="001B06B2"/>
    <w:rsid w:val="001B3158"/>
    <w:rsid w:val="001B6062"/>
    <w:rsid w:val="001B781F"/>
    <w:rsid w:val="001D204E"/>
    <w:rsid w:val="001D733F"/>
    <w:rsid w:val="001D7BB7"/>
    <w:rsid w:val="001E181D"/>
    <w:rsid w:val="001E3793"/>
    <w:rsid w:val="001E5CF0"/>
    <w:rsid w:val="001E6B3F"/>
    <w:rsid w:val="001F2F1A"/>
    <w:rsid w:val="001F3E47"/>
    <w:rsid w:val="00200891"/>
    <w:rsid w:val="00200AC5"/>
    <w:rsid w:val="00207689"/>
    <w:rsid w:val="00207E8E"/>
    <w:rsid w:val="00211B2F"/>
    <w:rsid w:val="00211F70"/>
    <w:rsid w:val="00214C45"/>
    <w:rsid w:val="00222DC0"/>
    <w:rsid w:val="002246A6"/>
    <w:rsid w:val="002256E2"/>
    <w:rsid w:val="00226D8F"/>
    <w:rsid w:val="00226FD7"/>
    <w:rsid w:val="002331AA"/>
    <w:rsid w:val="00236873"/>
    <w:rsid w:val="00240BAC"/>
    <w:rsid w:val="00246436"/>
    <w:rsid w:val="00247B29"/>
    <w:rsid w:val="002542CB"/>
    <w:rsid w:val="00267A09"/>
    <w:rsid w:val="00267D96"/>
    <w:rsid w:val="00284BDF"/>
    <w:rsid w:val="00285417"/>
    <w:rsid w:val="00291281"/>
    <w:rsid w:val="002912B1"/>
    <w:rsid w:val="0029537C"/>
    <w:rsid w:val="00297714"/>
    <w:rsid w:val="002A1579"/>
    <w:rsid w:val="002A37EF"/>
    <w:rsid w:val="002A5047"/>
    <w:rsid w:val="002A5EE7"/>
    <w:rsid w:val="002B24E4"/>
    <w:rsid w:val="002B2C27"/>
    <w:rsid w:val="002B3DC8"/>
    <w:rsid w:val="002B76D3"/>
    <w:rsid w:val="002C4199"/>
    <w:rsid w:val="002C502C"/>
    <w:rsid w:val="002C604A"/>
    <w:rsid w:val="002C7BB7"/>
    <w:rsid w:val="002D177F"/>
    <w:rsid w:val="002D21CF"/>
    <w:rsid w:val="002D32CE"/>
    <w:rsid w:val="002D5008"/>
    <w:rsid w:val="002D590A"/>
    <w:rsid w:val="002D5AEE"/>
    <w:rsid w:val="002E13F5"/>
    <w:rsid w:val="002E6DFA"/>
    <w:rsid w:val="002F066B"/>
    <w:rsid w:val="002F07BC"/>
    <w:rsid w:val="002F3838"/>
    <w:rsid w:val="002F528F"/>
    <w:rsid w:val="002F6A74"/>
    <w:rsid w:val="002F713D"/>
    <w:rsid w:val="002F78CF"/>
    <w:rsid w:val="00300BF9"/>
    <w:rsid w:val="00304CE7"/>
    <w:rsid w:val="00304FFF"/>
    <w:rsid w:val="003051FF"/>
    <w:rsid w:val="00305B1C"/>
    <w:rsid w:val="0031145E"/>
    <w:rsid w:val="00313BB3"/>
    <w:rsid w:val="003161CC"/>
    <w:rsid w:val="00317C29"/>
    <w:rsid w:val="00331674"/>
    <w:rsid w:val="00335E0D"/>
    <w:rsid w:val="00337274"/>
    <w:rsid w:val="0034088A"/>
    <w:rsid w:val="003408E0"/>
    <w:rsid w:val="0034174D"/>
    <w:rsid w:val="00342659"/>
    <w:rsid w:val="00346B1F"/>
    <w:rsid w:val="00354702"/>
    <w:rsid w:val="00354E86"/>
    <w:rsid w:val="00355906"/>
    <w:rsid w:val="003571C6"/>
    <w:rsid w:val="003574B8"/>
    <w:rsid w:val="003579D1"/>
    <w:rsid w:val="003621F1"/>
    <w:rsid w:val="00363180"/>
    <w:rsid w:val="003652EF"/>
    <w:rsid w:val="00365D0F"/>
    <w:rsid w:val="00366FB4"/>
    <w:rsid w:val="00370245"/>
    <w:rsid w:val="003836B4"/>
    <w:rsid w:val="003854A7"/>
    <w:rsid w:val="003867D5"/>
    <w:rsid w:val="003934C5"/>
    <w:rsid w:val="0039788D"/>
    <w:rsid w:val="003A0EAA"/>
    <w:rsid w:val="003A1361"/>
    <w:rsid w:val="003A17E1"/>
    <w:rsid w:val="003A36B5"/>
    <w:rsid w:val="003B65AD"/>
    <w:rsid w:val="003B715D"/>
    <w:rsid w:val="003C082F"/>
    <w:rsid w:val="003C206F"/>
    <w:rsid w:val="003C616C"/>
    <w:rsid w:val="003C718F"/>
    <w:rsid w:val="003D22D6"/>
    <w:rsid w:val="003D4140"/>
    <w:rsid w:val="003D6D4C"/>
    <w:rsid w:val="003F1A4C"/>
    <w:rsid w:val="003F21B3"/>
    <w:rsid w:val="003F4E2F"/>
    <w:rsid w:val="00401900"/>
    <w:rsid w:val="00403C83"/>
    <w:rsid w:val="0041263D"/>
    <w:rsid w:val="00422E6C"/>
    <w:rsid w:val="00422FE6"/>
    <w:rsid w:val="00423EA3"/>
    <w:rsid w:val="0043014A"/>
    <w:rsid w:val="00436733"/>
    <w:rsid w:val="0043764F"/>
    <w:rsid w:val="00440718"/>
    <w:rsid w:val="00441828"/>
    <w:rsid w:val="00442320"/>
    <w:rsid w:val="00443795"/>
    <w:rsid w:val="00452291"/>
    <w:rsid w:val="004526B8"/>
    <w:rsid w:val="00454627"/>
    <w:rsid w:val="004569BD"/>
    <w:rsid w:val="004572E8"/>
    <w:rsid w:val="004573C7"/>
    <w:rsid w:val="00457CB2"/>
    <w:rsid w:val="0047070D"/>
    <w:rsid w:val="00470D52"/>
    <w:rsid w:val="004733B2"/>
    <w:rsid w:val="00474C93"/>
    <w:rsid w:val="00475D31"/>
    <w:rsid w:val="00475D85"/>
    <w:rsid w:val="004778B2"/>
    <w:rsid w:val="004778D4"/>
    <w:rsid w:val="0048137C"/>
    <w:rsid w:val="00483EBF"/>
    <w:rsid w:val="004864E5"/>
    <w:rsid w:val="0048652E"/>
    <w:rsid w:val="004931F4"/>
    <w:rsid w:val="00493276"/>
    <w:rsid w:val="00494940"/>
    <w:rsid w:val="004A0CDC"/>
    <w:rsid w:val="004B3946"/>
    <w:rsid w:val="004C4BFB"/>
    <w:rsid w:val="004D23A1"/>
    <w:rsid w:val="004D6642"/>
    <w:rsid w:val="004E23E2"/>
    <w:rsid w:val="004E30DA"/>
    <w:rsid w:val="004E66FA"/>
    <w:rsid w:val="004F05B5"/>
    <w:rsid w:val="004F11AC"/>
    <w:rsid w:val="004F23DF"/>
    <w:rsid w:val="004F2D96"/>
    <w:rsid w:val="004F5759"/>
    <w:rsid w:val="004F5D97"/>
    <w:rsid w:val="005025D0"/>
    <w:rsid w:val="0050442E"/>
    <w:rsid w:val="00505D41"/>
    <w:rsid w:val="00506344"/>
    <w:rsid w:val="00510519"/>
    <w:rsid w:val="005121D2"/>
    <w:rsid w:val="0051580D"/>
    <w:rsid w:val="00515ABC"/>
    <w:rsid w:val="00516171"/>
    <w:rsid w:val="00523471"/>
    <w:rsid w:val="00531586"/>
    <w:rsid w:val="00531EBC"/>
    <w:rsid w:val="00534962"/>
    <w:rsid w:val="0053782E"/>
    <w:rsid w:val="00546068"/>
    <w:rsid w:val="00552F9B"/>
    <w:rsid w:val="005546A9"/>
    <w:rsid w:val="005547C5"/>
    <w:rsid w:val="00564B13"/>
    <w:rsid w:val="0056706E"/>
    <w:rsid w:val="00573140"/>
    <w:rsid w:val="005736EC"/>
    <w:rsid w:val="005741A7"/>
    <w:rsid w:val="00576645"/>
    <w:rsid w:val="00581C76"/>
    <w:rsid w:val="00582F6B"/>
    <w:rsid w:val="00584385"/>
    <w:rsid w:val="00584737"/>
    <w:rsid w:val="005857AC"/>
    <w:rsid w:val="005858F6"/>
    <w:rsid w:val="00591EC3"/>
    <w:rsid w:val="0059213C"/>
    <w:rsid w:val="00593138"/>
    <w:rsid w:val="005949EC"/>
    <w:rsid w:val="00596435"/>
    <w:rsid w:val="005A3F5C"/>
    <w:rsid w:val="005A4F4E"/>
    <w:rsid w:val="005A5DE9"/>
    <w:rsid w:val="005A5F03"/>
    <w:rsid w:val="005B1D88"/>
    <w:rsid w:val="005B533F"/>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AA4"/>
    <w:rsid w:val="005F6B7A"/>
    <w:rsid w:val="0060105C"/>
    <w:rsid w:val="00605720"/>
    <w:rsid w:val="00611C4C"/>
    <w:rsid w:val="0061664A"/>
    <w:rsid w:val="006232E5"/>
    <w:rsid w:val="00623F06"/>
    <w:rsid w:val="00625736"/>
    <w:rsid w:val="00636006"/>
    <w:rsid w:val="006370D0"/>
    <w:rsid w:val="006414C2"/>
    <w:rsid w:val="0064455E"/>
    <w:rsid w:val="00645D1F"/>
    <w:rsid w:val="00652804"/>
    <w:rsid w:val="00655B32"/>
    <w:rsid w:val="00656BFC"/>
    <w:rsid w:val="006650B3"/>
    <w:rsid w:val="00665A53"/>
    <w:rsid w:val="006713AA"/>
    <w:rsid w:val="006734CB"/>
    <w:rsid w:val="0067469A"/>
    <w:rsid w:val="006758A7"/>
    <w:rsid w:val="00677152"/>
    <w:rsid w:val="00677E79"/>
    <w:rsid w:val="0068063C"/>
    <w:rsid w:val="00681581"/>
    <w:rsid w:val="0068347A"/>
    <w:rsid w:val="00683846"/>
    <w:rsid w:val="00683D99"/>
    <w:rsid w:val="00685672"/>
    <w:rsid w:val="006877CE"/>
    <w:rsid w:val="00687D49"/>
    <w:rsid w:val="00691382"/>
    <w:rsid w:val="0069239A"/>
    <w:rsid w:val="006924DA"/>
    <w:rsid w:val="00694505"/>
    <w:rsid w:val="00694808"/>
    <w:rsid w:val="006979BA"/>
    <w:rsid w:val="006A3737"/>
    <w:rsid w:val="006A43CD"/>
    <w:rsid w:val="006A49CE"/>
    <w:rsid w:val="006A4B94"/>
    <w:rsid w:val="006A6AFF"/>
    <w:rsid w:val="006B0BA6"/>
    <w:rsid w:val="006B2501"/>
    <w:rsid w:val="006B2702"/>
    <w:rsid w:val="006B394D"/>
    <w:rsid w:val="006B47D2"/>
    <w:rsid w:val="006B7629"/>
    <w:rsid w:val="006B766D"/>
    <w:rsid w:val="006B76EC"/>
    <w:rsid w:val="006C0A7C"/>
    <w:rsid w:val="006C326B"/>
    <w:rsid w:val="006C3608"/>
    <w:rsid w:val="006C7D50"/>
    <w:rsid w:val="006D4C6B"/>
    <w:rsid w:val="006E0A97"/>
    <w:rsid w:val="006E2D85"/>
    <w:rsid w:val="006E4C3E"/>
    <w:rsid w:val="006E568A"/>
    <w:rsid w:val="00700885"/>
    <w:rsid w:val="00704C0B"/>
    <w:rsid w:val="007113E0"/>
    <w:rsid w:val="00711A7C"/>
    <w:rsid w:val="007136DD"/>
    <w:rsid w:val="0071502C"/>
    <w:rsid w:val="007172BA"/>
    <w:rsid w:val="00717BE0"/>
    <w:rsid w:val="0072174F"/>
    <w:rsid w:val="00723567"/>
    <w:rsid w:val="00724DE9"/>
    <w:rsid w:val="007264F7"/>
    <w:rsid w:val="007359A7"/>
    <w:rsid w:val="0073603F"/>
    <w:rsid w:val="0073716E"/>
    <w:rsid w:val="0074116D"/>
    <w:rsid w:val="007411D6"/>
    <w:rsid w:val="007427BB"/>
    <w:rsid w:val="00747CF5"/>
    <w:rsid w:val="0075031E"/>
    <w:rsid w:val="007512A1"/>
    <w:rsid w:val="00751D3B"/>
    <w:rsid w:val="007530BA"/>
    <w:rsid w:val="007614F7"/>
    <w:rsid w:val="00766D3F"/>
    <w:rsid w:val="00770A13"/>
    <w:rsid w:val="00774EBE"/>
    <w:rsid w:val="0078225C"/>
    <w:rsid w:val="00785249"/>
    <w:rsid w:val="00785C6D"/>
    <w:rsid w:val="00787D82"/>
    <w:rsid w:val="0079440B"/>
    <w:rsid w:val="007A55F4"/>
    <w:rsid w:val="007A682A"/>
    <w:rsid w:val="007A6C0A"/>
    <w:rsid w:val="007B4A7F"/>
    <w:rsid w:val="007B6B17"/>
    <w:rsid w:val="007C031D"/>
    <w:rsid w:val="007C320F"/>
    <w:rsid w:val="007C4172"/>
    <w:rsid w:val="007C4A49"/>
    <w:rsid w:val="007C6853"/>
    <w:rsid w:val="007C7491"/>
    <w:rsid w:val="007D2337"/>
    <w:rsid w:val="007D27F1"/>
    <w:rsid w:val="007D7474"/>
    <w:rsid w:val="007D7BD0"/>
    <w:rsid w:val="007E7CC8"/>
    <w:rsid w:val="007F2ED5"/>
    <w:rsid w:val="007F3893"/>
    <w:rsid w:val="007F466E"/>
    <w:rsid w:val="007F4C8D"/>
    <w:rsid w:val="007F7696"/>
    <w:rsid w:val="008050CA"/>
    <w:rsid w:val="00805918"/>
    <w:rsid w:val="00806C5E"/>
    <w:rsid w:val="00812D13"/>
    <w:rsid w:val="00814056"/>
    <w:rsid w:val="00816D6B"/>
    <w:rsid w:val="0082052B"/>
    <w:rsid w:val="00822203"/>
    <w:rsid w:val="00826CD9"/>
    <w:rsid w:val="00832FB2"/>
    <w:rsid w:val="00842980"/>
    <w:rsid w:val="00842CC9"/>
    <w:rsid w:val="00845E33"/>
    <w:rsid w:val="008462E7"/>
    <w:rsid w:val="008465AF"/>
    <w:rsid w:val="00851F3A"/>
    <w:rsid w:val="00860527"/>
    <w:rsid w:val="00860593"/>
    <w:rsid w:val="00861462"/>
    <w:rsid w:val="008633A4"/>
    <w:rsid w:val="008679D5"/>
    <w:rsid w:val="008705A2"/>
    <w:rsid w:val="00870804"/>
    <w:rsid w:val="008720E0"/>
    <w:rsid w:val="00872DC1"/>
    <w:rsid w:val="00876D40"/>
    <w:rsid w:val="008813AC"/>
    <w:rsid w:val="00887116"/>
    <w:rsid w:val="00890D38"/>
    <w:rsid w:val="00891FCC"/>
    <w:rsid w:val="0089217F"/>
    <w:rsid w:val="00893536"/>
    <w:rsid w:val="0089401C"/>
    <w:rsid w:val="008A0539"/>
    <w:rsid w:val="008A11A4"/>
    <w:rsid w:val="008A4E1E"/>
    <w:rsid w:val="008A7CF3"/>
    <w:rsid w:val="008B029E"/>
    <w:rsid w:val="008B271F"/>
    <w:rsid w:val="008B6E5E"/>
    <w:rsid w:val="008B7842"/>
    <w:rsid w:val="008C19A1"/>
    <w:rsid w:val="008C25B9"/>
    <w:rsid w:val="008C27E5"/>
    <w:rsid w:val="008C2EC7"/>
    <w:rsid w:val="008C43D9"/>
    <w:rsid w:val="008C6AFE"/>
    <w:rsid w:val="008D1F58"/>
    <w:rsid w:val="008D6A0F"/>
    <w:rsid w:val="008D7E3A"/>
    <w:rsid w:val="008E1C09"/>
    <w:rsid w:val="008E2194"/>
    <w:rsid w:val="008E48F2"/>
    <w:rsid w:val="008E7A4C"/>
    <w:rsid w:val="008F441D"/>
    <w:rsid w:val="008F6808"/>
    <w:rsid w:val="009006CE"/>
    <w:rsid w:val="00900EF3"/>
    <w:rsid w:val="00904924"/>
    <w:rsid w:val="009102E1"/>
    <w:rsid w:val="0091082F"/>
    <w:rsid w:val="00911250"/>
    <w:rsid w:val="00913DDC"/>
    <w:rsid w:val="00914C9F"/>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44639"/>
    <w:rsid w:val="0094476B"/>
    <w:rsid w:val="00945ABA"/>
    <w:rsid w:val="00945B75"/>
    <w:rsid w:val="0095393D"/>
    <w:rsid w:val="009559D2"/>
    <w:rsid w:val="00957790"/>
    <w:rsid w:val="00960474"/>
    <w:rsid w:val="00960A05"/>
    <w:rsid w:val="00964FBA"/>
    <w:rsid w:val="00981512"/>
    <w:rsid w:val="00990F83"/>
    <w:rsid w:val="00992FBC"/>
    <w:rsid w:val="009959D9"/>
    <w:rsid w:val="00995A20"/>
    <w:rsid w:val="00996015"/>
    <w:rsid w:val="00997FD3"/>
    <w:rsid w:val="009A7D26"/>
    <w:rsid w:val="009B1082"/>
    <w:rsid w:val="009B19E6"/>
    <w:rsid w:val="009C0010"/>
    <w:rsid w:val="009C0124"/>
    <w:rsid w:val="009C0B3B"/>
    <w:rsid w:val="009C1EBB"/>
    <w:rsid w:val="009C48EF"/>
    <w:rsid w:val="009C4B12"/>
    <w:rsid w:val="009C52C4"/>
    <w:rsid w:val="009C5F3A"/>
    <w:rsid w:val="009C61C6"/>
    <w:rsid w:val="009D1AED"/>
    <w:rsid w:val="009D6A20"/>
    <w:rsid w:val="009E1FC3"/>
    <w:rsid w:val="009E310B"/>
    <w:rsid w:val="009F09C6"/>
    <w:rsid w:val="009F18AE"/>
    <w:rsid w:val="009F3E13"/>
    <w:rsid w:val="009F4BAF"/>
    <w:rsid w:val="009F6F78"/>
    <w:rsid w:val="009F7702"/>
    <w:rsid w:val="009F78DC"/>
    <w:rsid w:val="00A00298"/>
    <w:rsid w:val="00A03262"/>
    <w:rsid w:val="00A07BBD"/>
    <w:rsid w:val="00A15FD8"/>
    <w:rsid w:val="00A25842"/>
    <w:rsid w:val="00A2645C"/>
    <w:rsid w:val="00A2717D"/>
    <w:rsid w:val="00A3192F"/>
    <w:rsid w:val="00A32726"/>
    <w:rsid w:val="00A3407B"/>
    <w:rsid w:val="00A3445E"/>
    <w:rsid w:val="00A352AE"/>
    <w:rsid w:val="00A404F6"/>
    <w:rsid w:val="00A42A29"/>
    <w:rsid w:val="00A43EBF"/>
    <w:rsid w:val="00A45177"/>
    <w:rsid w:val="00A507E4"/>
    <w:rsid w:val="00A533D0"/>
    <w:rsid w:val="00A54467"/>
    <w:rsid w:val="00A54706"/>
    <w:rsid w:val="00A55B2A"/>
    <w:rsid w:val="00A679F6"/>
    <w:rsid w:val="00A709B3"/>
    <w:rsid w:val="00A77EDB"/>
    <w:rsid w:val="00A825D1"/>
    <w:rsid w:val="00A837C6"/>
    <w:rsid w:val="00A8469B"/>
    <w:rsid w:val="00A863D3"/>
    <w:rsid w:val="00A92471"/>
    <w:rsid w:val="00A92AD9"/>
    <w:rsid w:val="00A94819"/>
    <w:rsid w:val="00AA100B"/>
    <w:rsid w:val="00AA2D30"/>
    <w:rsid w:val="00AA3861"/>
    <w:rsid w:val="00AA3DFC"/>
    <w:rsid w:val="00AA5547"/>
    <w:rsid w:val="00AA5A1A"/>
    <w:rsid w:val="00AA5E1B"/>
    <w:rsid w:val="00AB0128"/>
    <w:rsid w:val="00AB091F"/>
    <w:rsid w:val="00AB130B"/>
    <w:rsid w:val="00AB6D95"/>
    <w:rsid w:val="00AB7843"/>
    <w:rsid w:val="00AC5912"/>
    <w:rsid w:val="00AC7BB8"/>
    <w:rsid w:val="00AD1FEE"/>
    <w:rsid w:val="00AD4746"/>
    <w:rsid w:val="00AD5141"/>
    <w:rsid w:val="00AD7C91"/>
    <w:rsid w:val="00AE22D8"/>
    <w:rsid w:val="00AE2E44"/>
    <w:rsid w:val="00AF0D7E"/>
    <w:rsid w:val="00AF10C4"/>
    <w:rsid w:val="00AF4EA2"/>
    <w:rsid w:val="00B01C46"/>
    <w:rsid w:val="00B03E4C"/>
    <w:rsid w:val="00B0579F"/>
    <w:rsid w:val="00B10DDD"/>
    <w:rsid w:val="00B2660D"/>
    <w:rsid w:val="00B375CF"/>
    <w:rsid w:val="00B4106E"/>
    <w:rsid w:val="00B4146A"/>
    <w:rsid w:val="00B424A7"/>
    <w:rsid w:val="00B42BE0"/>
    <w:rsid w:val="00B432FB"/>
    <w:rsid w:val="00B465C7"/>
    <w:rsid w:val="00B50C99"/>
    <w:rsid w:val="00B51124"/>
    <w:rsid w:val="00B549D4"/>
    <w:rsid w:val="00B557B5"/>
    <w:rsid w:val="00B56426"/>
    <w:rsid w:val="00B57A2A"/>
    <w:rsid w:val="00B60A52"/>
    <w:rsid w:val="00B61C68"/>
    <w:rsid w:val="00B63404"/>
    <w:rsid w:val="00B634C0"/>
    <w:rsid w:val="00B66046"/>
    <w:rsid w:val="00B662E3"/>
    <w:rsid w:val="00B67A80"/>
    <w:rsid w:val="00B73D70"/>
    <w:rsid w:val="00B77E10"/>
    <w:rsid w:val="00B77EF0"/>
    <w:rsid w:val="00B84D05"/>
    <w:rsid w:val="00B93AF4"/>
    <w:rsid w:val="00B977FE"/>
    <w:rsid w:val="00BB0CE3"/>
    <w:rsid w:val="00BC0FF7"/>
    <w:rsid w:val="00BC1FCE"/>
    <w:rsid w:val="00BC673C"/>
    <w:rsid w:val="00BD1D2C"/>
    <w:rsid w:val="00BD33FA"/>
    <w:rsid w:val="00BD3B6A"/>
    <w:rsid w:val="00BD3D87"/>
    <w:rsid w:val="00BD574A"/>
    <w:rsid w:val="00BD74B0"/>
    <w:rsid w:val="00BE1554"/>
    <w:rsid w:val="00BE509C"/>
    <w:rsid w:val="00BE52D6"/>
    <w:rsid w:val="00BE7413"/>
    <w:rsid w:val="00BE78C8"/>
    <w:rsid w:val="00BF0B8D"/>
    <w:rsid w:val="00BF3B0D"/>
    <w:rsid w:val="00BF50F4"/>
    <w:rsid w:val="00BF6A6A"/>
    <w:rsid w:val="00BF7990"/>
    <w:rsid w:val="00C036E9"/>
    <w:rsid w:val="00C10B2D"/>
    <w:rsid w:val="00C10FBA"/>
    <w:rsid w:val="00C13874"/>
    <w:rsid w:val="00C14041"/>
    <w:rsid w:val="00C14A9E"/>
    <w:rsid w:val="00C20A97"/>
    <w:rsid w:val="00C24CF1"/>
    <w:rsid w:val="00C2775F"/>
    <w:rsid w:val="00C322FF"/>
    <w:rsid w:val="00C34F20"/>
    <w:rsid w:val="00C35A0E"/>
    <w:rsid w:val="00C438D1"/>
    <w:rsid w:val="00C5094B"/>
    <w:rsid w:val="00C52C53"/>
    <w:rsid w:val="00C5689A"/>
    <w:rsid w:val="00C63360"/>
    <w:rsid w:val="00C63420"/>
    <w:rsid w:val="00C6403E"/>
    <w:rsid w:val="00C66722"/>
    <w:rsid w:val="00C67083"/>
    <w:rsid w:val="00C67356"/>
    <w:rsid w:val="00C67C48"/>
    <w:rsid w:val="00C70963"/>
    <w:rsid w:val="00C7247A"/>
    <w:rsid w:val="00C80759"/>
    <w:rsid w:val="00C82C61"/>
    <w:rsid w:val="00C83B2E"/>
    <w:rsid w:val="00C85ACA"/>
    <w:rsid w:val="00C970EC"/>
    <w:rsid w:val="00CA0BE7"/>
    <w:rsid w:val="00CA1003"/>
    <w:rsid w:val="00CB07D4"/>
    <w:rsid w:val="00CB5292"/>
    <w:rsid w:val="00CC2CFA"/>
    <w:rsid w:val="00CC3D21"/>
    <w:rsid w:val="00CC7CDE"/>
    <w:rsid w:val="00CD21A2"/>
    <w:rsid w:val="00CD380C"/>
    <w:rsid w:val="00CD5E43"/>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22743"/>
    <w:rsid w:val="00D30893"/>
    <w:rsid w:val="00D311CE"/>
    <w:rsid w:val="00D33D45"/>
    <w:rsid w:val="00D3496D"/>
    <w:rsid w:val="00D42AC1"/>
    <w:rsid w:val="00D43BD0"/>
    <w:rsid w:val="00D50311"/>
    <w:rsid w:val="00D507FB"/>
    <w:rsid w:val="00D57EEA"/>
    <w:rsid w:val="00D629A0"/>
    <w:rsid w:val="00D65842"/>
    <w:rsid w:val="00D72B91"/>
    <w:rsid w:val="00D7686B"/>
    <w:rsid w:val="00D80F0A"/>
    <w:rsid w:val="00D82157"/>
    <w:rsid w:val="00D844C1"/>
    <w:rsid w:val="00D84ABB"/>
    <w:rsid w:val="00D8588D"/>
    <w:rsid w:val="00D858FB"/>
    <w:rsid w:val="00D8607A"/>
    <w:rsid w:val="00D868DA"/>
    <w:rsid w:val="00D940A9"/>
    <w:rsid w:val="00D9539C"/>
    <w:rsid w:val="00D9574C"/>
    <w:rsid w:val="00DA2069"/>
    <w:rsid w:val="00DA5112"/>
    <w:rsid w:val="00DB167E"/>
    <w:rsid w:val="00DB3DCD"/>
    <w:rsid w:val="00DB7138"/>
    <w:rsid w:val="00DC0B18"/>
    <w:rsid w:val="00DC4802"/>
    <w:rsid w:val="00DC7153"/>
    <w:rsid w:val="00DD0A3D"/>
    <w:rsid w:val="00DD2997"/>
    <w:rsid w:val="00DD3373"/>
    <w:rsid w:val="00DD5B26"/>
    <w:rsid w:val="00DD6EF8"/>
    <w:rsid w:val="00DD7C44"/>
    <w:rsid w:val="00DE26AF"/>
    <w:rsid w:val="00DE4844"/>
    <w:rsid w:val="00E01D0C"/>
    <w:rsid w:val="00E15E5F"/>
    <w:rsid w:val="00E22A73"/>
    <w:rsid w:val="00E247D9"/>
    <w:rsid w:val="00E312B4"/>
    <w:rsid w:val="00E378B8"/>
    <w:rsid w:val="00E37F9D"/>
    <w:rsid w:val="00E40260"/>
    <w:rsid w:val="00E4082F"/>
    <w:rsid w:val="00E42B81"/>
    <w:rsid w:val="00E4483F"/>
    <w:rsid w:val="00E51F2B"/>
    <w:rsid w:val="00E5225C"/>
    <w:rsid w:val="00E560CE"/>
    <w:rsid w:val="00E66114"/>
    <w:rsid w:val="00E7683B"/>
    <w:rsid w:val="00E82DAA"/>
    <w:rsid w:val="00E84C12"/>
    <w:rsid w:val="00E902A3"/>
    <w:rsid w:val="00E905E4"/>
    <w:rsid w:val="00E908E7"/>
    <w:rsid w:val="00E92C6D"/>
    <w:rsid w:val="00E95415"/>
    <w:rsid w:val="00E96101"/>
    <w:rsid w:val="00EA00BD"/>
    <w:rsid w:val="00EA28A3"/>
    <w:rsid w:val="00EA30B9"/>
    <w:rsid w:val="00EA5F59"/>
    <w:rsid w:val="00EA6DF1"/>
    <w:rsid w:val="00EA7277"/>
    <w:rsid w:val="00EB0A12"/>
    <w:rsid w:val="00EB3A94"/>
    <w:rsid w:val="00EB3F0D"/>
    <w:rsid w:val="00EC0DFA"/>
    <w:rsid w:val="00EC537F"/>
    <w:rsid w:val="00EC610E"/>
    <w:rsid w:val="00ED77CE"/>
    <w:rsid w:val="00EE0BB7"/>
    <w:rsid w:val="00EE0C09"/>
    <w:rsid w:val="00EF1551"/>
    <w:rsid w:val="00EF3B68"/>
    <w:rsid w:val="00EF3EA6"/>
    <w:rsid w:val="00EF4F7A"/>
    <w:rsid w:val="00EF52D3"/>
    <w:rsid w:val="00EF6BB8"/>
    <w:rsid w:val="00F0152A"/>
    <w:rsid w:val="00F119D0"/>
    <w:rsid w:val="00F168B5"/>
    <w:rsid w:val="00F26892"/>
    <w:rsid w:val="00F31731"/>
    <w:rsid w:val="00F334F5"/>
    <w:rsid w:val="00F367FA"/>
    <w:rsid w:val="00F36C21"/>
    <w:rsid w:val="00F37230"/>
    <w:rsid w:val="00F3737E"/>
    <w:rsid w:val="00F37B16"/>
    <w:rsid w:val="00F401D5"/>
    <w:rsid w:val="00F50A4E"/>
    <w:rsid w:val="00F516C1"/>
    <w:rsid w:val="00F5783C"/>
    <w:rsid w:val="00F654DC"/>
    <w:rsid w:val="00F71D37"/>
    <w:rsid w:val="00F72008"/>
    <w:rsid w:val="00F7247B"/>
    <w:rsid w:val="00F72851"/>
    <w:rsid w:val="00F8602C"/>
    <w:rsid w:val="00F86680"/>
    <w:rsid w:val="00F937BF"/>
    <w:rsid w:val="00F947B4"/>
    <w:rsid w:val="00FA12C4"/>
    <w:rsid w:val="00FA6E1B"/>
    <w:rsid w:val="00FA71C5"/>
    <w:rsid w:val="00FB395F"/>
    <w:rsid w:val="00FB67BC"/>
    <w:rsid w:val="00FB73B0"/>
    <w:rsid w:val="00FC0290"/>
    <w:rsid w:val="00FC184F"/>
    <w:rsid w:val="00FC38AA"/>
    <w:rsid w:val="00FC4321"/>
    <w:rsid w:val="00FC77E9"/>
    <w:rsid w:val="00FD1CBF"/>
    <w:rsid w:val="00FD2611"/>
    <w:rsid w:val="00FD3C32"/>
    <w:rsid w:val="00FD3C80"/>
    <w:rsid w:val="00FE1D9C"/>
    <w:rsid w:val="00FE33B8"/>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8</Pages>
  <Words>3189</Words>
  <Characters>18178</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170</cp:revision>
  <cp:lastPrinted>2016-02-24T04:15:00Z</cp:lastPrinted>
  <dcterms:created xsi:type="dcterms:W3CDTF">2016-02-22T14:28:00Z</dcterms:created>
  <dcterms:modified xsi:type="dcterms:W3CDTF">2016-02-28T00:45:00Z</dcterms:modified>
</cp:coreProperties>
</file>