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Colorismo y logro educativo en Argentina</w:t>
      </w:r>
    </w:p>
    <w:p>
      <w:pPr>
        <w:spacing w:after="60"/>
      </w:pPr>
      <w:r>
        <w:rPr>
          <w:rFonts w:ascii="Calibri" w:cs="Calibri" w:eastAsia="Calibri" w:hAnsi="Calibri"/>
          <w:i/>
          <w:iCs/>
          <w:color w:val="555555"/>
          <w:sz w:val="24"/>
          <w:szCs w:val="24"/>
        </w:rPr>
        <w:t xml:space="preserve">Documento vivo de especificaciones — v0.2 (18-jul-2026)</w:t>
      </w:r>
    </w:p>
    <w:p>
      <w:pPr>
        <w:spacing w:after="120"/>
      </w:pPr>
      <w:r>
        <w:rPr>
          <w:rFonts w:ascii="Calibri" w:cs="Calibri" w:eastAsia="Calibri" w:hAnsi="Calibri"/>
          <w:color w:val="555555"/>
          <w:sz w:val="20"/>
          <w:szCs w:val="20"/>
        </w:rPr>
        <w:t xml:space="preserve">Proyecto SkinColor_LATAM · Datos: LAPOP AmericasBarometer 2004–2023 (Argentina + Sudamérica) · Código: R/01_prepare_data.R, R/02_models_argentina.R, R/03_models_southamerica.R</w:t>
      </w:r>
    </w:p>
    <w:p>
      <w:pPr>
        <w:pStyle w:val="Heading1"/>
        <w:spacing w:after="140" w:before="280"/>
      </w:pPr>
      <w:r>
        <w:rPr>
          <w:rFonts w:ascii="Calibri" w:cs="Calibri" w:eastAsia="Calibri" w:hAnsi="Calibri"/>
        </w:rPr>
        <w:t xml:space="preserve">1. Pregunta</w:t>
      </w:r>
    </w:p>
    <w:p>
      <w:pPr>
        <w:spacing w:after="120"/>
      </w:pPr>
      <w:r>
        <w:rPr>
          <w:rFonts w:ascii="Calibri" w:cs="Calibri" w:eastAsia="Calibri" w:hAnsi="Calibri"/>
          <w:sz w:val="22"/>
          <w:szCs w:val="22"/>
        </w:rPr>
        <w:t xml:space="preserve">¿El color de piel predice el nivel educativo alcanzado en Argentina, condicional en el trasfondo del individuo? Es el test directo de la conclusión del proyecto previo de Data Science ("el color no importa por sí mismo, opera vía ingreso"), que el diseño anterior —variable importance de un random forest— no podía establecer: esa métrica no tiene signo, no es ceteris paribus y no distingue mediación de confusión.</w:t>
      </w:r>
    </w:p>
    <w:p>
      <w:pPr>
        <w:spacing w:after="120"/>
      </w:pPr>
      <w:r>
        <w:rPr>
          <w:rFonts w:ascii="Calibri" w:cs="Calibri" w:eastAsia="Calibri" w:hAnsi="Calibri"/>
          <w:sz w:val="22"/>
          <w:szCs w:val="22"/>
        </w:rPr>
        <w:t xml:space="preserve">Referencia comparada: Telles et al. (PERLA, 2015) encuentran penalidades de −0.38 a −0.71 años de escolaridad por desvío estándar de color en 8 países latinoamericanos. Argentina no estaba en esa muestra: este análisis aporta el dato faltante.</w:t>
      </w:r>
    </w:p>
    <w:p>
      <w:pPr>
        <w:pStyle w:val="Heading1"/>
        <w:spacing w:after="140" w:before="280"/>
      </w:pPr>
      <w:r>
        <w:rPr>
          <w:rFonts w:ascii="Calibri" w:cs="Calibri" w:eastAsia="Calibri" w:hAnsi="Calibri"/>
        </w:rPr>
        <w:t xml:space="preserve">2. Datos y disponibilidad por ola</w:t>
      </w:r>
    </w:p>
    <w:p>
      <w:pPr>
        <w:spacing w:after="120"/>
      </w:pPr>
      <w:r>
        <w:rPr>
          <w:rFonts w:ascii="Calibri" w:cs="Calibri" w:eastAsia="Calibri" w:hAnsi="Calibri"/>
          <w:sz w:val="22"/>
          <w:szCs w:val="22"/>
        </w:rPr>
        <w:t xml:space="preserve">Archivo: Argentina_2004-2023_LAPOP_AmericasBarometer_v1.0_w.dta (N=13.527; 1.408 variables). La ola 2021 (telefónica, COVID) no tiene color ni educación y queda fuera. Esto dicta el diseño: pooled 2010–2019 con ed (años de educación) como outcome principal, y 2023 con edre como espejo ordinal.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c>
          <w:tcPr>
            <w:tcW w:type="dxa" w:w="1900"/>
            <w:shd w:fill="E8EEF7"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4760"/>
            <w:shd w:fill="E8EEF7" w:val="clear"/>
            <w:tcMar>
              <w:top w:type="dxa" w:w="60"/>
              <w:left w:type="dxa" w:w="100"/>
              <w:bottom w:type="dxa" w:w="60"/>
              <w:right w:type="dxa" w:w="100"/>
            </w:tcMar>
          </w:tcPr>
          <w:p>
            <w:r>
              <w:rPr>
                <w:rFonts w:ascii="Calibri" w:cs="Calibri" w:eastAsia="Calibri" w:hAnsi="Calibri"/>
                <w:b/>
                <w:bCs/>
                <w:sz w:val="19"/>
                <w:szCs w:val="19"/>
              </w:rPr>
              <w:t xml:space="preserve">Descripción</w:t>
            </w:r>
          </w:p>
        </w:tc>
        <w:tc>
          <w:tcPr>
            <w:tcW w:type="dxa" w:w="2700"/>
            <w:shd w:fill="E8EEF7" w:val="clear"/>
            <w:tcMar>
              <w:top w:type="dxa" w:w="60"/>
              <w:left w:type="dxa" w:w="100"/>
              <w:bottom w:type="dxa" w:w="60"/>
              <w:right w:type="dxa" w:w="100"/>
            </w:tcMar>
          </w:tcPr>
          <w:p>
            <w:r>
              <w:rPr>
                <w:rFonts w:ascii="Calibri" w:cs="Calibri" w:eastAsia="Calibri" w:hAnsi="Calibri"/>
                <w:b/>
                <w:bCs/>
                <w:sz w:val="19"/>
                <w:szCs w:val="19"/>
              </w:rPr>
              <w:t xml:space="preserve">Olas disponibles</w:t>
            </w:r>
          </w:p>
        </w:tc>
      </w:tr>
      <w:tr>
        <w:tc>
          <w:tcPr>
            <w:tcW w:type="dxa" w:w="1900"/>
            <w:tcMar>
              <w:top w:type="dxa" w:w="60"/>
              <w:left w:type="dxa" w:w="100"/>
              <w:bottom w:type="dxa" w:w="60"/>
              <w:right w:type="dxa" w:w="100"/>
            </w:tcMar>
          </w:tcPr>
          <w:p>
            <w:r>
              <w:rPr>
                <w:rFonts w:ascii="Calibri" w:cs="Calibri" w:eastAsia="Calibri" w:hAnsi="Calibri"/>
                <w:sz w:val="19"/>
                <w:szCs w:val="19"/>
              </w:rPr>
              <w:t xml:space="preserve">colori</w:t>
            </w:r>
          </w:p>
        </w:tc>
        <w:tc>
          <w:tcPr>
            <w:tcW w:type="dxa" w:w="4760"/>
            <w:tcMar>
              <w:top w:type="dxa" w:w="60"/>
              <w:left w:type="dxa" w:w="100"/>
              <w:bottom w:type="dxa" w:w="60"/>
              <w:right w:type="dxa" w:w="100"/>
            </w:tcMar>
          </w:tcPr>
          <w:p>
            <w:r>
              <w:rPr>
                <w:rFonts w:ascii="Calibri" w:cs="Calibri" w:eastAsia="Calibri" w:hAnsi="Calibri"/>
                <w:sz w:val="19"/>
                <w:szCs w:val="19"/>
              </w:rPr>
              <w:t xml:space="preserve">Color de piel evaluado por el encuestador (PERLA 1–11)</w:t>
            </w:r>
          </w:p>
        </w:tc>
        <w:tc>
          <w:tcPr>
            <w:tcW w:type="dxa" w:w="2700"/>
            <w:tcMar>
              <w:top w:type="dxa" w:w="60"/>
              <w:left w:type="dxa" w:w="100"/>
              <w:bottom w:type="dxa" w:w="60"/>
              <w:right w:type="dxa" w:w="100"/>
            </w:tcMar>
          </w:tcPr>
          <w:p>
            <w:r>
              <w:rPr>
                <w:rFonts w:ascii="Calibri" w:cs="Calibri" w:eastAsia="Calibri" w:hAnsi="Calibri"/>
                <w:sz w:val="19"/>
                <w:szCs w:val="19"/>
              </w:rPr>
              <w:t xml:space="preserve">2010–2019 (bienal), 2023</w:t>
            </w:r>
          </w:p>
        </w:tc>
      </w:tr>
      <w:tr>
        <w:tc>
          <w:tcPr>
            <w:tcW w:type="dxa" w:w="1900"/>
            <w:tcMar>
              <w:top w:type="dxa" w:w="60"/>
              <w:left w:type="dxa" w:w="100"/>
              <w:bottom w:type="dxa" w:w="60"/>
              <w:right w:type="dxa" w:w="100"/>
            </w:tcMar>
          </w:tcPr>
          <w:p>
            <w:r>
              <w:rPr>
                <w:rFonts w:ascii="Calibri" w:cs="Calibri" w:eastAsia="Calibri" w:hAnsi="Calibri"/>
                <w:sz w:val="19"/>
                <w:szCs w:val="19"/>
              </w:rPr>
              <w:t xml:space="preserve">colorr</w:t>
            </w:r>
          </w:p>
        </w:tc>
        <w:tc>
          <w:tcPr>
            <w:tcW w:type="dxa" w:w="4760"/>
            <w:tcMar>
              <w:top w:type="dxa" w:w="60"/>
              <w:left w:type="dxa" w:w="100"/>
              <w:bottom w:type="dxa" w:w="60"/>
              <w:right w:type="dxa" w:w="100"/>
            </w:tcMar>
          </w:tcPr>
          <w:p>
            <w:r>
              <w:rPr>
                <w:rFonts w:ascii="Calibri" w:cs="Calibri" w:eastAsia="Calibri" w:hAnsi="Calibri"/>
                <w:sz w:val="19"/>
                <w:szCs w:val="19"/>
              </w:rPr>
              <w:t xml:space="preserve">Color de piel auto-reportado (1–11)</w:t>
            </w:r>
          </w:p>
        </w:tc>
        <w:tc>
          <w:tcPr>
            <w:tcW w:type="dxa" w:w="2700"/>
            <w:tcMar>
              <w:top w:type="dxa" w:w="60"/>
              <w:left w:type="dxa" w:w="100"/>
              <w:bottom w:type="dxa" w:w="60"/>
              <w:right w:type="dxa" w:w="100"/>
            </w:tcMar>
          </w:tcPr>
          <w:p>
            <w:r>
              <w:rPr>
                <w:rFonts w:ascii="Calibri" w:cs="Calibri" w:eastAsia="Calibri" w:hAnsi="Calibri"/>
                <w:sz w:val="19"/>
                <w:szCs w:val="19"/>
              </w:rPr>
              <w:t xml:space="preserve">ídem</w:t>
            </w:r>
          </w:p>
        </w:tc>
      </w:tr>
      <w:tr>
        <w:tc>
          <w:tcPr>
            <w:tcW w:type="dxa" w:w="1900"/>
            <w:tcMar>
              <w:top w:type="dxa" w:w="60"/>
              <w:left w:type="dxa" w:w="100"/>
              <w:bottom w:type="dxa" w:w="60"/>
              <w:right w:type="dxa" w:w="100"/>
            </w:tcMar>
          </w:tcPr>
          <w:p>
            <w:r>
              <w:rPr>
                <w:rFonts w:ascii="Calibri" w:cs="Calibri" w:eastAsia="Calibri" w:hAnsi="Calibri"/>
                <w:sz w:val="19"/>
                <w:szCs w:val="19"/>
              </w:rPr>
              <w:t xml:space="preserve">ed</w:t>
            </w:r>
          </w:p>
        </w:tc>
        <w:tc>
          <w:tcPr>
            <w:tcW w:type="dxa" w:w="4760"/>
            <w:tcMar>
              <w:top w:type="dxa" w:w="60"/>
              <w:left w:type="dxa" w:w="100"/>
              <w:bottom w:type="dxa" w:w="60"/>
              <w:right w:type="dxa" w:w="100"/>
            </w:tcMar>
          </w:tcPr>
          <w:p>
            <w:r>
              <w:rPr>
                <w:rFonts w:ascii="Calibri" w:cs="Calibri" w:eastAsia="Calibri" w:hAnsi="Calibri"/>
                <w:sz w:val="19"/>
                <w:szCs w:val="19"/>
              </w:rPr>
              <w:t xml:space="preserve">Años de educación (0–18)</w:t>
            </w:r>
          </w:p>
        </w:tc>
        <w:tc>
          <w:tcPr>
            <w:tcW w:type="dxa" w:w="2700"/>
            <w:tcMar>
              <w:top w:type="dxa" w:w="60"/>
              <w:left w:type="dxa" w:w="100"/>
              <w:bottom w:type="dxa" w:w="60"/>
              <w:right w:type="dxa" w:w="100"/>
            </w:tcMar>
          </w:tcPr>
          <w:p>
            <w:r>
              <w:rPr>
                <w:rFonts w:ascii="Calibri" w:cs="Calibri" w:eastAsia="Calibri" w:hAnsi="Calibri"/>
                <w:sz w:val="19"/>
                <w:szCs w:val="19"/>
              </w:rPr>
              <w:t xml:space="preserve">2008–2019</w:t>
            </w:r>
          </w:p>
        </w:tc>
      </w:tr>
      <w:tr>
        <w:tc>
          <w:tcPr>
            <w:tcW w:type="dxa" w:w="1900"/>
            <w:tcMar>
              <w:top w:type="dxa" w:w="60"/>
              <w:left w:type="dxa" w:w="100"/>
              <w:bottom w:type="dxa" w:w="60"/>
              <w:right w:type="dxa" w:w="100"/>
            </w:tcMar>
          </w:tcPr>
          <w:p>
            <w:r>
              <w:rPr>
                <w:rFonts w:ascii="Calibri" w:cs="Calibri" w:eastAsia="Calibri" w:hAnsi="Calibri"/>
                <w:sz w:val="19"/>
                <w:szCs w:val="19"/>
              </w:rPr>
              <w:t xml:space="preserve">edre</w:t>
            </w:r>
          </w:p>
        </w:tc>
        <w:tc>
          <w:tcPr>
            <w:tcW w:type="dxa" w:w="4760"/>
            <w:tcMar>
              <w:top w:type="dxa" w:w="60"/>
              <w:left w:type="dxa" w:w="100"/>
              <w:bottom w:type="dxa" w:w="60"/>
              <w:right w:type="dxa" w:w="100"/>
            </w:tcMar>
          </w:tcPr>
          <w:p>
            <w:r>
              <w:rPr>
                <w:rFonts w:ascii="Calibri" w:cs="Calibri" w:eastAsia="Calibri" w:hAnsi="Calibri"/>
                <w:sz w:val="19"/>
                <w:szCs w:val="19"/>
              </w:rPr>
              <w:t xml:space="preserve">Nivel educativo ordinal (0–6)</w:t>
            </w:r>
          </w:p>
        </w:tc>
        <w:tc>
          <w:tcPr>
            <w:tcW w:type="dxa" w:w="2700"/>
            <w:tcMar>
              <w:top w:type="dxa" w:w="60"/>
              <w:left w:type="dxa" w:w="100"/>
              <w:bottom w:type="dxa" w:w="60"/>
              <w:right w:type="dxa" w:w="100"/>
            </w:tcMar>
          </w:tcPr>
          <w:p>
            <w:r>
              <w:rPr>
                <w:rFonts w:ascii="Calibri" w:cs="Calibri" w:eastAsia="Calibri" w:hAnsi="Calibri"/>
                <w:sz w:val="19"/>
                <w:szCs w:val="19"/>
              </w:rPr>
              <w:t xml:space="preserve">solo 2023</w:t>
            </w:r>
          </w:p>
        </w:tc>
      </w:tr>
      <w:tr>
        <w:tc>
          <w:tcPr>
            <w:tcW w:type="dxa" w:w="1900"/>
            <w:tcMar>
              <w:top w:type="dxa" w:w="60"/>
              <w:left w:type="dxa" w:w="100"/>
              <w:bottom w:type="dxa" w:w="60"/>
              <w:right w:type="dxa" w:w="100"/>
            </w:tcMar>
          </w:tcPr>
          <w:p>
            <w:r>
              <w:rPr>
                <w:rFonts w:ascii="Calibri" w:cs="Calibri" w:eastAsia="Calibri" w:hAnsi="Calibri"/>
                <w:sz w:val="19"/>
                <w:szCs w:val="19"/>
              </w:rPr>
              <w:t xml:space="preserve">ed2</w:t>
            </w:r>
          </w:p>
        </w:tc>
        <w:tc>
          <w:tcPr>
            <w:tcW w:type="dxa" w:w="4760"/>
            <w:tcMar>
              <w:top w:type="dxa" w:w="60"/>
              <w:left w:type="dxa" w:w="100"/>
              <w:bottom w:type="dxa" w:w="60"/>
              <w:right w:type="dxa" w:w="100"/>
            </w:tcMar>
          </w:tcPr>
          <w:p>
            <w:r>
              <w:rPr>
                <w:rFonts w:ascii="Calibri" w:cs="Calibri" w:eastAsia="Calibri" w:hAnsi="Calibri"/>
                <w:sz w:val="19"/>
                <w:szCs w:val="19"/>
              </w:rPr>
              <w:t xml:space="preserve">Nivel educativo de la madre (0–8)</w:t>
            </w:r>
          </w:p>
        </w:tc>
        <w:tc>
          <w:tcPr>
            <w:tcW w:type="dxa" w:w="2700"/>
            <w:tcMar>
              <w:top w:type="dxa" w:w="60"/>
              <w:left w:type="dxa" w:w="100"/>
              <w:bottom w:type="dxa" w:w="60"/>
              <w:right w:type="dxa" w:w="100"/>
            </w:tcMar>
          </w:tcPr>
          <w:p>
            <w:r>
              <w:rPr>
                <w:rFonts w:ascii="Calibri" w:cs="Calibri" w:eastAsia="Calibri" w:hAnsi="Calibri"/>
                <w:sz w:val="19"/>
                <w:szCs w:val="19"/>
              </w:rPr>
              <w:t xml:space="preserve">2012 (parcial), 2014, 2017</w:t>
            </w:r>
          </w:p>
        </w:tc>
      </w:tr>
      <w:tr>
        <w:tc>
          <w:tcPr>
            <w:tcW w:type="dxa" w:w="1900"/>
            <w:tcMar>
              <w:top w:type="dxa" w:w="60"/>
              <w:left w:type="dxa" w:w="100"/>
              <w:bottom w:type="dxa" w:w="60"/>
              <w:right w:type="dxa" w:w="100"/>
            </w:tcMar>
          </w:tcPr>
          <w:p>
            <w:r>
              <w:rPr>
                <w:rFonts w:ascii="Calibri" w:cs="Calibri" w:eastAsia="Calibri" w:hAnsi="Calibri"/>
                <w:sz w:val="19"/>
                <w:szCs w:val="19"/>
              </w:rPr>
              <w:t xml:space="preserve">etid</w:t>
            </w:r>
          </w:p>
        </w:tc>
        <w:tc>
          <w:tcPr>
            <w:tcW w:type="dxa" w:w="4760"/>
            <w:tcMar>
              <w:top w:type="dxa" w:w="60"/>
              <w:left w:type="dxa" w:w="100"/>
              <w:bottom w:type="dxa" w:w="60"/>
              <w:right w:type="dxa" w:w="100"/>
            </w:tcMar>
          </w:tcPr>
          <w:p>
            <w:r>
              <w:rPr>
                <w:rFonts w:ascii="Calibri" w:cs="Calibri" w:eastAsia="Calibri" w:hAnsi="Calibri"/>
                <w:sz w:val="19"/>
                <w:szCs w:val="19"/>
              </w:rPr>
              <w:t xml:space="preserve">Autoidentificación étnica</w:t>
            </w:r>
          </w:p>
        </w:tc>
        <w:tc>
          <w:tcPr>
            <w:tcW w:type="dxa" w:w="2700"/>
            <w:tcMar>
              <w:top w:type="dxa" w:w="60"/>
              <w:left w:type="dxa" w:w="100"/>
              <w:bottom w:type="dxa" w:w="60"/>
              <w:right w:type="dxa" w:w="100"/>
            </w:tcMar>
          </w:tcPr>
          <w:p>
            <w:r>
              <w:rPr>
                <w:rFonts w:ascii="Calibri" w:cs="Calibri" w:eastAsia="Calibri" w:hAnsi="Calibri"/>
                <w:sz w:val="19"/>
                <w:szCs w:val="19"/>
              </w:rPr>
              <w:t xml:space="preserve">todas menos 2021</w:t>
            </w:r>
          </w:p>
        </w:tc>
      </w:tr>
      <w:tr>
        <w:tc>
          <w:tcPr>
            <w:tcW w:type="dxa" w:w="1900"/>
            <w:tcMar>
              <w:top w:type="dxa" w:w="60"/>
              <w:left w:type="dxa" w:w="100"/>
              <w:bottom w:type="dxa" w:w="60"/>
              <w:right w:type="dxa" w:w="100"/>
            </w:tcMar>
          </w:tcPr>
          <w:p>
            <w:r>
              <w:rPr>
                <w:rFonts w:ascii="Calibri" w:cs="Calibri" w:eastAsia="Calibri" w:hAnsi="Calibri"/>
                <w:sz w:val="19"/>
                <w:szCs w:val="19"/>
              </w:rPr>
              <w:t xml:space="preserve">wt / upm / estratopri</w:t>
            </w:r>
          </w:p>
        </w:tc>
        <w:tc>
          <w:tcPr>
            <w:tcW w:type="dxa" w:w="4760"/>
            <w:tcMar>
              <w:top w:type="dxa" w:w="60"/>
              <w:left w:type="dxa" w:w="100"/>
              <w:bottom w:type="dxa" w:w="60"/>
              <w:right w:type="dxa" w:w="100"/>
            </w:tcMar>
          </w:tcPr>
          <w:p>
            <w:r>
              <w:rPr>
                <w:rFonts w:ascii="Calibri" w:cs="Calibri" w:eastAsia="Calibri" w:hAnsi="Calibri"/>
                <w:sz w:val="19"/>
                <w:szCs w:val="19"/>
              </w:rPr>
              <w:t xml:space="preserve">Peso de diseño, conglomerado, región</w:t>
            </w:r>
          </w:p>
        </w:tc>
        <w:tc>
          <w:tcPr>
            <w:tcW w:type="dxa" w:w="2700"/>
            <w:tcMar>
              <w:top w:type="dxa" w:w="60"/>
              <w:left w:type="dxa" w:w="100"/>
              <w:bottom w:type="dxa" w:w="60"/>
              <w:right w:type="dxa" w:w="100"/>
            </w:tcMar>
          </w:tcPr>
          <w:p>
            <w:r>
              <w:rPr>
                <w:rFonts w:ascii="Calibri" w:cs="Calibri" w:eastAsia="Calibri" w:hAnsi="Calibri"/>
                <w:sz w:val="19"/>
                <w:szCs w:val="19"/>
              </w:rPr>
              <w:t xml:space="preserve">todas</w:t>
            </w:r>
          </w:p>
        </w:tc>
      </w:tr>
    </w:tbl>
    <w:p>
      <w:pPr>
        <w:pStyle w:val="Heading1"/>
        <w:spacing w:after="140" w:before="280"/>
      </w:pPr>
      <w:r>
        <w:rPr>
          <w:rFonts w:ascii="Calibri" w:cs="Calibri" w:eastAsia="Calibri" w:hAnsi="Calibri"/>
        </w:rPr>
        <w:t xml:space="preserve">3. Decisiones de diseño y su razonamiento</w:t>
      </w:r>
    </w:p>
    <w:p>
      <w:pPr>
        <w:spacing w:after="120"/>
      </w:pPr>
      <w:r>
        <w:rPr>
          <w:rFonts w:ascii="Calibri" w:cs="Calibri" w:eastAsia="Calibri" w:hAnsi="Calibri"/>
          <w:b/>
          <w:bCs/>
          <w:sz w:val="22"/>
          <w:szCs w:val="22"/>
        </w:rPr>
        <w:t xml:space="preserve">Muestra 25+. </w:t>
      </w:r>
      <w:r>
        <w:rPr>
          <w:rFonts w:ascii="Calibri" w:cs="Calibri" w:eastAsia="Calibri" w:hAnsi="Calibri"/>
          <w:sz w:val="22"/>
          <w:szCs w:val="22"/>
        </w:rPr>
        <w:t xml:space="preserve">La escolaridad debe estar completada; incluir 18–24 genera censura (aún no terminaron) y era la razón mecánica por la que la edad dominaba el random forest del proyecto anterior.</w:t>
      </w:r>
    </w:p>
    <w:p>
      <w:pPr>
        <w:spacing w:after="120"/>
      </w:pPr>
      <w:r>
        <w:rPr>
          <w:rFonts w:ascii="Calibri" w:cs="Calibri" w:eastAsia="Calibri" w:hAnsi="Calibri"/>
          <w:b/>
          <w:bCs/>
          <w:sz w:val="22"/>
          <w:szCs w:val="22"/>
        </w:rPr>
        <w:t xml:space="preserve">Tratamiento: colori (encuestador), no colorr (auto-reporte). </w:t>
      </w:r>
      <w:r>
        <w:rPr>
          <w:rFonts w:ascii="Calibri" w:cs="Calibri" w:eastAsia="Calibri" w:hAnsi="Calibri"/>
          <w:sz w:val="22"/>
          <w:szCs w:val="22"/>
        </w:rPr>
        <w:t xml:space="preserve">El auto-reporte está contaminado por estatus: la correlación entre ambas medidas es apenas 0.32, y la brecha (auto − encuestador) pasa de +0.21 en el tercil educativo bajo a −0.25 en el alto — los más educados se "auto-aclaran". La evaluación del encuestador aproxima cómo te perciben (el mecanismo de la discriminación) y es el estándar PERLA/Telles. colorr se usa solo como contraste (M4).</w:t>
      </w:r>
    </w:p>
    <w:p>
      <w:pPr>
        <w:spacing w:after="120"/>
      </w:pPr>
      <w:r>
        <w:rPr>
          <w:rFonts w:ascii="Calibri" w:cs="Calibri" w:eastAsia="Calibri" w:hAnsi="Calibri"/>
          <w:b/>
          <w:bCs/>
          <w:sz w:val="22"/>
          <w:szCs w:val="22"/>
        </w:rPr>
        <w:t xml:space="preserve">Controles pre-tratamiento únicamente: </w:t>
      </w:r>
      <w:r>
        <w:rPr>
          <w:rFonts w:ascii="Calibri" w:cs="Calibri" w:eastAsia="Calibri" w:hAnsi="Calibri"/>
          <w:sz w:val="22"/>
          <w:szCs w:val="22"/>
        </w:rPr>
        <w:t xml:space="preserve">cohorte de nacimiento (dummies por década, topes 1930/1990), sexo, urbano/rural, región (estratopri) y ola. Explícitamente excluidos: ingreso actual, empleo formal y tamaño del hogar — son consecuencias de la educación (bad controls); condicionar en ellos "apaga" mecánicamente el efecto del color, que fue el error interpretativo del análisis previo. Los FE de región absorben que el NOA/NEA es a la vez más moreno y más pobre; los de cohorte absorben la expansión educativa secular.</w:t>
      </w:r>
    </w:p>
    <w:p>
      <w:pPr>
        <w:spacing w:after="120"/>
      </w:pPr>
      <w:r>
        <w:rPr>
          <w:rFonts w:ascii="Calibri" w:cs="Calibri" w:eastAsia="Calibri" w:hAnsi="Calibri"/>
          <w:b/>
          <w:bCs/>
          <w:sz w:val="22"/>
          <w:szCs w:val="22"/>
        </w:rPr>
        <w:t xml:space="preserve">Diseño muestral: </w:t>
      </w:r>
      <w:r>
        <w:rPr>
          <w:rFonts w:ascii="Calibri" w:cs="Calibri" w:eastAsia="Calibri" w:hAnsi="Calibri"/>
          <w:sz w:val="22"/>
          <w:szCs w:val="22"/>
        </w:rPr>
        <w:t xml:space="preserve">pesos wt en todos los WLS; errores estándar cluster por UPM (LAPOP sortea conglomerados, no individuos). En 2023 wt=1 (muestra autoponderada), por lo que el probit ordenado sin pesos es correcto.</w:t>
      </w:r>
    </w:p>
    <w:p>
      <w:pPr>
        <w:pStyle w:val="Heading1"/>
        <w:spacing w:after="140" w:before="280"/>
      </w:pPr>
      <w:r>
        <w:rPr>
          <w:rFonts w:ascii="Calibri" w:cs="Calibri" w:eastAsia="Calibri" w:hAnsi="Calibri"/>
        </w:rPr>
        <w:t xml:space="preserve">4. Especificaciones</w:t>
      </w:r>
    </w:p>
    <w:p>
      <w:pPr>
        <w:spacing w:after="120"/>
      </w:pPr>
      <w:r>
        <w:rPr>
          <w:rFonts w:ascii="Calibri" w:cs="Calibri" w:eastAsia="Calibri" w:hAnsi="Calibri"/>
          <w:sz w:val="22"/>
          <w:szCs w:val="22"/>
        </w:rPr>
        <w:t xml:space="preserve">Todos los WLS con pesos wt y SE cluster-UPM. δ denota efectos fijos.</w:t>
      </w:r>
    </w:p>
    <w:p>
      <w:pPr>
        <w:pStyle w:val="Heading2"/>
        <w:spacing w:after="110" w:before="220"/>
      </w:pPr>
      <w:r>
        <w:rPr>
          <w:rFonts w:ascii="Calibri" w:cs="Calibri" w:eastAsia="Calibri" w:hAnsi="Calibri"/>
        </w:rPr>
        <w:t xml:space="preserve">M1 — Modelo principal (WLS, pooled 2010–2019)</w:t>
      </w:r>
    </w:p>
    <w:p>
      <w:pPr>
        <w:shd w:fill="F2F2F2" w:val="clear"/>
        <w:spacing w:after="80" w:before="80"/>
        <w:ind w:left="360"/>
      </w:pPr>
      <w:r>
        <w:rPr>
          <w:rFonts w:ascii="Consolas" w:cs="Consolas" w:eastAsia="Consolas" w:hAnsi="Consolas"/>
          <w:sz w:val="20"/>
          <w:szCs w:val="20"/>
        </w:rPr>
        <w:t xml:space="preserve">ed_i = β·colori_std_i + γ1·mujer_i + γ2·rural_i + δ_cohorte + δ_región + δ_ola + ε_i</w:t>
      </w:r>
    </w:p>
    <w:p>
      <w:pPr>
        <w:spacing w:after="120"/>
      </w:pPr>
      <w:r>
        <w:rPr>
          <w:rFonts w:ascii="Calibri" w:cs="Calibri" w:eastAsia="Calibri" w:hAnsi="Calibri"/>
          <w:sz w:val="22"/>
          <w:szCs w:val="22"/>
        </w:rPr>
        <w:t xml:space="preserve">β se lee como años de educación asociados a +1 desvío estándar de oscuridad de piel (≈1.5 puntos de la escala 1–11).</w:t>
      </w:r>
    </w:p>
    <w:p>
      <w:pPr>
        <w:pStyle w:val="Heading2"/>
        <w:spacing w:after="110" w:before="220"/>
      </w:pPr>
      <w:r>
        <w:rPr>
          <w:rFonts w:ascii="Calibri" w:cs="Calibri" w:eastAsia="Calibri" w:hAnsi="Calibri"/>
        </w:rPr>
        <w:t xml:space="preserve">M2 — Color vs. categoría</w:t>
      </w:r>
    </w:p>
    <w:p>
      <w:pPr>
        <w:spacing w:after="120"/>
      </w:pPr>
      <w:r>
        <w:rPr>
          <w:rFonts w:ascii="Calibri" w:cs="Calibri" w:eastAsia="Calibri" w:hAnsi="Calibri"/>
          <w:sz w:val="22"/>
          <w:szCs w:val="22"/>
        </w:rPr>
        <w:t xml:space="preserve">M1 + dummy blanco (etid=1). Horse race à la Telles: ¿pesa más el tono observado o la casilla con la que la persona se identifica?</w:t>
      </w:r>
    </w:p>
    <w:p>
      <w:pPr>
        <w:pStyle w:val="Heading2"/>
        <w:spacing w:after="110" w:before="220"/>
      </w:pPr>
      <w:r>
        <w:rPr>
          <w:rFonts w:ascii="Calibri" w:cs="Calibri" w:eastAsia="Calibri" w:hAnsi="Calibri"/>
        </w:rPr>
        <w:t xml:space="preserve">M3 — Probit ordenado (ola 2023)</w:t>
      </w:r>
    </w:p>
    <w:p>
      <w:pPr>
        <w:shd w:fill="F2F2F2" w:val="clear"/>
        <w:spacing w:after="80" w:before="80"/>
        <w:ind w:left="360"/>
      </w:pPr>
      <w:r>
        <w:rPr>
          <w:rFonts w:ascii="Consolas" w:cs="Consolas" w:eastAsia="Consolas" w:hAnsi="Consolas"/>
          <w:sz w:val="20"/>
          <w:szCs w:val="20"/>
        </w:rPr>
        <w:t xml:space="preserve">edre*_i = β·colori_std_i + γ1·mujer_i + γ2·rural_i + δ_cohorte + δ_región + u_i,  u ~ N(0,1)</w:t>
      </w:r>
    </w:p>
    <w:p>
      <w:pPr>
        <w:shd w:fill="F2F2F2" w:val="clear"/>
        <w:spacing w:after="80" w:before="80"/>
        <w:ind w:left="360"/>
      </w:pPr>
      <w:r>
        <w:rPr>
          <w:rFonts w:ascii="Consolas" w:cs="Consolas" w:eastAsia="Consolas" w:hAnsi="Consolas"/>
          <w:sz w:val="20"/>
          <w:szCs w:val="20"/>
        </w:rPr>
        <w:t xml:space="preserve">edre_i = k  si  κ_{k-1} &lt; edre*_i ≤ κ_k</w:t>
      </w:r>
    </w:p>
    <w:p>
      <w:pPr>
        <w:spacing w:after="120"/>
      </w:pPr>
      <w:r>
        <w:rPr>
          <w:rFonts w:ascii="Calibri" w:cs="Calibri" w:eastAsia="Calibri" w:hAnsi="Calibri"/>
          <w:sz w:val="22"/>
          <w:szCs w:val="22"/>
        </w:rPr>
        <w:t xml:space="preserve">Variable latente y umbrales κ estimados; respeta que las distancias entre niveles educativos no son iguales. Sin δ_ola (una sola ola) y sin pesos (wt=1).</w:t>
      </w:r>
    </w:p>
    <w:p>
      <w:pPr>
        <w:pStyle w:val="Heading2"/>
        <w:spacing w:after="110" w:before="220"/>
      </w:pPr>
      <w:r>
        <w:rPr>
          <w:rFonts w:ascii="Calibri" w:cs="Calibri" w:eastAsia="Calibri" w:hAnsi="Calibri"/>
        </w:rPr>
        <w:t xml:space="preserve">M4 — Medida endógena</w:t>
      </w:r>
    </w:p>
    <w:p>
      <w:pPr>
        <w:spacing w:after="120"/>
      </w:pPr>
      <w:r>
        <w:rPr>
          <w:rFonts w:ascii="Calibri" w:cs="Calibri" w:eastAsia="Calibri" w:hAnsi="Calibri"/>
          <w:sz w:val="22"/>
          <w:szCs w:val="22"/>
        </w:rPr>
        <w:t xml:space="preserve">Idéntico a M1 reemplazando colori_std por colorr_std (auto-reporte). La comparación M1 vs. M4 aísla el efecto de la medida: misma ecuación, misma muestra, solo cambia quién juzga el color.</w:t>
      </w:r>
    </w:p>
    <w:p>
      <w:pPr>
        <w:pStyle w:val="Heading2"/>
        <w:spacing w:after="110" w:before="220"/>
      </w:pPr>
      <w:r>
        <w:rPr>
          <w:rFonts w:ascii="Calibri" w:cs="Calibri" w:eastAsia="Calibri" w:hAnsi="Calibri"/>
        </w:rPr>
        <w:t xml:space="preserve">M5 / M5b — Origen socioeconómico</w:t>
      </w:r>
    </w:p>
    <w:p>
      <w:pPr>
        <w:spacing w:after="120"/>
      </w:pPr>
      <w:r>
        <w:rPr>
          <w:rFonts w:ascii="Calibri" w:cs="Calibri" w:eastAsia="Calibri" w:hAnsi="Calibri"/>
          <w:sz w:val="22"/>
          <w:szCs w:val="22"/>
        </w:rPr>
        <w:t xml:space="preserve">M1 + efectos fijos de educación de la madre (ed2), submuestra 2012–2017. M5b re-estima M1 en la misma submuestra sin el control, para separar el efecto del control del efecto del cambio de muestra.</w:t>
      </w:r>
    </w:p>
    <w:p>
      <w:pPr>
        <w:pStyle w:val="Heading2"/>
        <w:spacing w:after="110" w:before="220"/>
      </w:pPr>
      <w:r>
        <w:rPr>
          <w:rFonts w:ascii="Calibri" w:cs="Calibri" w:eastAsia="Calibri" w:hAnsi="Calibri"/>
        </w:rPr>
        <w:t xml:space="preserve">M6 — Funcional flexible</w:t>
      </w:r>
    </w:p>
    <w:p>
      <w:pPr>
        <w:spacing w:after="120"/>
      </w:pPr>
      <w:r>
        <w:rPr>
          <w:rFonts w:ascii="Calibri" w:cs="Calibri" w:eastAsia="Calibri" w:hAnsi="Calibri"/>
          <w:sz w:val="22"/>
          <w:szCs w:val="22"/>
        </w:rPr>
        <w:t xml:space="preserve">M1 con bins de color: claro (1–3, referencia), medio (4–5), oscuro (6–11). Chequea no-linealidades, p. ej. penalidad concentrada en el extremo oscuro.</w:t>
      </w:r>
    </w:p>
    <w:p>
      <w:pPr>
        <w:pStyle w:val="Heading2"/>
        <w:spacing w:after="110" w:before="220"/>
      </w:pPr>
      <w:r>
        <w:rPr>
          <w:rFonts w:ascii="Calibri" w:cs="Calibri" w:eastAsia="Calibri" w:hAnsi="Calibri"/>
        </w:rPr>
        <w:t xml:space="preserve">MH — Heterogeneidad por cohorte</w:t>
      </w:r>
    </w:p>
    <w:p>
      <w:pPr>
        <w:spacing w:after="120"/>
      </w:pPr>
      <w:r>
        <w:rPr>
          <w:rFonts w:ascii="Calibri" w:cs="Calibri" w:eastAsia="Calibri" w:hAnsi="Calibri"/>
          <w:sz w:val="22"/>
          <w:szCs w:val="22"/>
        </w:rPr>
        <w:t xml:space="preserve">M1 + interacción colori_std × joven (nacidos 1975+): ¿se atenúa el gradiente entre generaciones?</w:t>
      </w:r>
    </w:p>
    <w:p>
      <w:pPr>
        <w:pStyle w:val="Heading1"/>
        <w:spacing w:after="140" w:before="280"/>
      </w:pPr>
      <w:r>
        <w:rPr>
          <w:rFonts w:ascii="Calibri" w:cs="Calibri" w:eastAsia="Calibri" w:hAnsi="Calibri"/>
        </w:rPr>
        <w:t xml:space="preserve">5. Resultados preliminares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900"/>
        <w:gridCol w:w="1750"/>
        <w:gridCol w:w="1400"/>
        <w:gridCol w:w="1210"/>
      </w:tblGrid>
      <w:tr>
        <w:tc>
          <w:tcPr>
            <w:tcW w:type="dxa" w:w="2600"/>
            <w:shd w:fill="E8EEF7" w:val="clear"/>
            <w:tcMar>
              <w:top w:type="dxa" w:w="60"/>
              <w:left w:type="dxa" w:w="100"/>
              <w:bottom w:type="dxa" w:w="60"/>
              <w:right w:type="dxa" w:w="100"/>
            </w:tcMar>
          </w:tcPr>
          <w:p>
            <w:r>
              <w:rPr>
                <w:rFonts w:ascii="Calibri" w:cs="Calibri" w:eastAsia="Calibri" w:hAnsi="Calibri"/>
                <w:b/>
                <w:bCs/>
                <w:sz w:val="19"/>
                <w:szCs w:val="19"/>
              </w:rPr>
              <w:t xml:space="preserve">Modelo</w:t>
            </w:r>
          </w:p>
        </w:tc>
        <w:tc>
          <w:tcPr>
            <w:tcW w:type="dxa" w:w="1500"/>
            <w:shd w:fill="E8EEF7" w:val="clear"/>
            <w:tcMar>
              <w:top w:type="dxa" w:w="60"/>
              <w:left w:type="dxa" w:w="100"/>
              <w:bottom w:type="dxa" w:w="60"/>
              <w:right w:type="dxa" w:w="100"/>
            </w:tcMar>
          </w:tcPr>
          <w:p>
            <w:r>
              <w:rPr>
                <w:rFonts w:ascii="Calibri" w:cs="Calibri" w:eastAsia="Calibri" w:hAnsi="Calibri"/>
                <w:b/>
                <w:bCs/>
                <w:sz w:val="19"/>
                <w:szCs w:val="19"/>
              </w:rPr>
              <w:t xml:space="preserve">Muestra</w:t>
            </w:r>
          </w:p>
        </w:tc>
        <w:tc>
          <w:tcPr>
            <w:tcW w:type="dxa" w:w="900"/>
            <w:shd w:fill="E8EEF7" w:val="clear"/>
            <w:tcMar>
              <w:top w:type="dxa" w:w="60"/>
              <w:left w:type="dxa" w:w="100"/>
              <w:bottom w:type="dxa" w:w="60"/>
              <w:right w:type="dxa" w:w="100"/>
            </w:tcMar>
          </w:tcPr>
          <w:p>
            <w:r>
              <w:rPr>
                <w:rFonts w:ascii="Calibri" w:cs="Calibri" w:eastAsia="Calibri" w:hAnsi="Calibri"/>
                <w:b/>
                <w:bCs/>
                <w:sz w:val="19"/>
                <w:szCs w:val="19"/>
              </w:rPr>
              <w:t xml:space="preserve">N</w:t>
            </w:r>
          </w:p>
        </w:tc>
        <w:tc>
          <w:tcPr>
            <w:tcW w:type="dxa" w:w="1750"/>
            <w:shd w:fill="E8EEF7" w:val="clear"/>
            <w:tcMar>
              <w:top w:type="dxa" w:w="60"/>
              <w:left w:type="dxa" w:w="100"/>
              <w:bottom w:type="dxa" w:w="60"/>
              <w:right w:type="dxa" w:w="100"/>
            </w:tcMar>
          </w:tcPr>
          <w:p>
            <w:r>
              <w:rPr>
                <w:rFonts w:ascii="Calibri" w:cs="Calibri" w:eastAsia="Calibri" w:hAnsi="Calibri"/>
                <w:b/>
                <w:bCs/>
                <w:sz w:val="19"/>
                <w:szCs w:val="19"/>
              </w:rPr>
              <w:t xml:space="preserve">Coef. color</w:t>
            </w:r>
          </w:p>
        </w:tc>
        <w:tc>
          <w:tcPr>
            <w:tcW w:type="dxa" w:w="1400"/>
            <w:shd w:fill="E8EEF7" w:val="clear"/>
            <w:tcMar>
              <w:top w:type="dxa" w:w="60"/>
              <w:left w:type="dxa" w:w="100"/>
              <w:bottom w:type="dxa" w:w="60"/>
              <w:right w:type="dxa" w:w="100"/>
            </w:tcMar>
          </w:tcPr>
          <w:p>
            <w:r>
              <w:rPr>
                <w:rFonts w:ascii="Calibri" w:cs="Calibri" w:eastAsia="Calibri" w:hAnsi="Calibri"/>
                <w:b/>
                <w:bCs/>
                <w:sz w:val="19"/>
                <w:szCs w:val="19"/>
              </w:rPr>
              <w:t xml:space="preserve">SE</w:t>
            </w:r>
          </w:p>
        </w:tc>
        <w:tc>
          <w:tcPr>
            <w:tcW w:type="dxa" w:w="1210"/>
            <w:shd w:fill="E8EEF7" w:val="clear"/>
            <w:tcMar>
              <w:top w:type="dxa" w:w="60"/>
              <w:left w:type="dxa" w:w="100"/>
              <w:bottom w:type="dxa" w:w="60"/>
              <w:right w:type="dxa" w:w="100"/>
            </w:tcMar>
          </w:tcPr>
          <w:p>
            <w:r>
              <w:rPr>
                <w:rFonts w:ascii="Calibri" w:cs="Calibri" w:eastAsia="Calibri" w:hAnsi="Calibri"/>
                <w:b/>
                <w:bCs/>
                <w:sz w:val="19"/>
                <w:szCs w:val="19"/>
              </w:rPr>
              <w:t xml:space="preserve">p</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M1: colori_std</w:t>
            </w:r>
          </w:p>
        </w:tc>
        <w:tc>
          <w:tcPr>
            <w:tcW w:type="dxa" w:w="1500"/>
            <w:tcMar>
              <w:top w:type="dxa" w:w="60"/>
              <w:left w:type="dxa" w:w="100"/>
              <w:bottom w:type="dxa" w:w="60"/>
              <w:right w:type="dxa" w:w="100"/>
            </w:tcMar>
          </w:tcPr>
          <w:p>
            <w:r>
              <w:rPr>
                <w:rFonts w:ascii="Calibri" w:cs="Calibri" w:eastAsia="Calibri" w:hAnsi="Calibri"/>
                <w:sz w:val="19"/>
                <w:szCs w:val="19"/>
              </w:rPr>
              <w:t xml:space="preserve">pooled 2010–19</w:t>
            </w:r>
          </w:p>
        </w:tc>
        <w:tc>
          <w:tcPr>
            <w:tcW w:type="dxa" w:w="900"/>
            <w:tcMar>
              <w:top w:type="dxa" w:w="60"/>
              <w:left w:type="dxa" w:w="100"/>
              <w:bottom w:type="dxa" w:w="60"/>
              <w:right w:type="dxa" w:w="100"/>
            </w:tcMar>
          </w:tcPr>
          <w:p>
            <w:r>
              <w:rPr>
                <w:rFonts w:ascii="Calibri" w:cs="Calibri" w:eastAsia="Calibri" w:hAnsi="Calibri"/>
                <w:sz w:val="19"/>
                <w:szCs w:val="19"/>
              </w:rPr>
              <w:t xml:space="preserve">5.807</w:t>
            </w:r>
          </w:p>
        </w:tc>
        <w:tc>
          <w:tcPr>
            <w:tcW w:type="dxa" w:w="1750"/>
            <w:tcMar>
              <w:top w:type="dxa" w:w="60"/>
              <w:left w:type="dxa" w:w="100"/>
              <w:bottom w:type="dxa" w:w="60"/>
              <w:right w:type="dxa" w:w="100"/>
            </w:tcMar>
          </w:tcPr>
          <w:p>
            <w:r>
              <w:rPr>
                <w:rFonts w:ascii="Calibri" w:cs="Calibri" w:eastAsia="Calibri" w:hAnsi="Calibri"/>
                <w:sz w:val="19"/>
                <w:szCs w:val="19"/>
              </w:rPr>
              <w:t xml:space="preserve">−0.135</w:t>
            </w:r>
          </w:p>
        </w:tc>
        <w:tc>
          <w:tcPr>
            <w:tcW w:type="dxa" w:w="1400"/>
            <w:tcMar>
              <w:top w:type="dxa" w:w="60"/>
              <w:left w:type="dxa" w:w="100"/>
              <w:bottom w:type="dxa" w:w="60"/>
              <w:right w:type="dxa" w:w="100"/>
            </w:tcMar>
          </w:tcPr>
          <w:p>
            <w:r>
              <w:rPr>
                <w:rFonts w:ascii="Calibri" w:cs="Calibri" w:eastAsia="Calibri" w:hAnsi="Calibri"/>
                <w:sz w:val="19"/>
                <w:szCs w:val="19"/>
              </w:rPr>
              <w:t xml:space="preserve">0.083</w:t>
            </w:r>
          </w:p>
        </w:tc>
        <w:tc>
          <w:tcPr>
            <w:tcW w:type="dxa" w:w="1210"/>
            <w:tcMar>
              <w:top w:type="dxa" w:w="60"/>
              <w:left w:type="dxa" w:w="100"/>
              <w:bottom w:type="dxa" w:w="60"/>
              <w:right w:type="dxa" w:w="100"/>
            </w:tcMar>
          </w:tcPr>
          <w:p>
            <w:r>
              <w:rPr>
                <w:rFonts w:ascii="Calibri" w:cs="Calibri" w:eastAsia="Calibri" w:hAnsi="Calibri"/>
                <w:sz w:val="19"/>
                <w:szCs w:val="19"/>
              </w:rPr>
              <w:t xml:space="preserve">0.104</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M2: colori_std / blanco</w:t>
            </w:r>
          </w:p>
        </w:tc>
        <w:tc>
          <w:tcPr>
            <w:tcW w:type="dxa" w:w="1500"/>
            <w:tcMar>
              <w:top w:type="dxa" w:w="60"/>
              <w:left w:type="dxa" w:w="100"/>
              <w:bottom w:type="dxa" w:w="60"/>
              <w:right w:type="dxa" w:w="100"/>
            </w:tcMar>
          </w:tcPr>
          <w:p>
            <w:r>
              <w:rPr>
                <w:rFonts w:ascii="Calibri" w:cs="Calibri" w:eastAsia="Calibri" w:hAnsi="Calibri"/>
                <w:sz w:val="19"/>
                <w:szCs w:val="19"/>
              </w:rPr>
              <w:t xml:space="preserve">pooled</w:t>
            </w:r>
          </w:p>
        </w:tc>
        <w:tc>
          <w:tcPr>
            <w:tcW w:type="dxa" w:w="900"/>
            <w:tcMar>
              <w:top w:type="dxa" w:w="60"/>
              <w:left w:type="dxa" w:w="100"/>
              <w:bottom w:type="dxa" w:w="60"/>
              <w:right w:type="dxa" w:w="100"/>
            </w:tcMar>
          </w:tcPr>
          <w:p>
            <w:r>
              <w:rPr>
                <w:rFonts w:ascii="Calibri" w:cs="Calibri" w:eastAsia="Calibri" w:hAnsi="Calibri"/>
                <w:sz w:val="19"/>
                <w:szCs w:val="19"/>
              </w:rPr>
              <w:t xml:space="preserve">5.528</w:t>
            </w:r>
          </w:p>
        </w:tc>
        <w:tc>
          <w:tcPr>
            <w:tcW w:type="dxa" w:w="1750"/>
            <w:tcMar>
              <w:top w:type="dxa" w:w="60"/>
              <w:left w:type="dxa" w:w="100"/>
              <w:bottom w:type="dxa" w:w="60"/>
              <w:right w:type="dxa" w:w="100"/>
            </w:tcMar>
          </w:tcPr>
          <w:p>
            <w:r>
              <w:rPr>
                <w:rFonts w:ascii="Calibri" w:cs="Calibri" w:eastAsia="Calibri" w:hAnsi="Calibri"/>
                <w:sz w:val="19"/>
                <w:szCs w:val="19"/>
              </w:rPr>
              <w:t xml:space="preserve">−0.121 / +0.788</w:t>
            </w:r>
          </w:p>
        </w:tc>
        <w:tc>
          <w:tcPr>
            <w:tcW w:type="dxa" w:w="1400"/>
            <w:tcMar>
              <w:top w:type="dxa" w:w="60"/>
              <w:left w:type="dxa" w:w="100"/>
              <w:bottom w:type="dxa" w:w="60"/>
              <w:right w:type="dxa" w:w="100"/>
            </w:tcMar>
          </w:tcPr>
          <w:p>
            <w:r>
              <w:rPr>
                <w:rFonts w:ascii="Calibri" w:cs="Calibri" w:eastAsia="Calibri" w:hAnsi="Calibri"/>
                <w:sz w:val="19"/>
                <w:szCs w:val="19"/>
              </w:rPr>
              <w:t xml:space="preserve">0.083 / 0.133</w:t>
            </w:r>
          </w:p>
        </w:tc>
        <w:tc>
          <w:tcPr>
            <w:tcW w:type="dxa" w:w="1210"/>
            <w:tcMar>
              <w:top w:type="dxa" w:w="60"/>
              <w:left w:type="dxa" w:w="100"/>
              <w:bottom w:type="dxa" w:w="60"/>
              <w:right w:type="dxa" w:w="100"/>
            </w:tcMar>
          </w:tcPr>
          <w:p>
            <w:r>
              <w:rPr>
                <w:rFonts w:ascii="Calibri" w:cs="Calibri" w:eastAsia="Calibri" w:hAnsi="Calibri"/>
                <w:sz w:val="19"/>
                <w:szCs w:val="19"/>
              </w:rPr>
              <w:t xml:space="preserve">0.142 / &lt;0.001</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M3: probit ord. edre</w:t>
            </w:r>
          </w:p>
        </w:tc>
        <w:tc>
          <w:tcPr>
            <w:tcW w:type="dxa" w:w="1500"/>
            <w:tcMar>
              <w:top w:type="dxa" w:w="60"/>
              <w:left w:type="dxa" w:w="100"/>
              <w:bottom w:type="dxa" w:w="60"/>
              <w:right w:type="dxa" w:w="100"/>
            </w:tcMar>
          </w:tcPr>
          <w:p>
            <w:r>
              <w:rPr>
                <w:rFonts w:ascii="Calibri" w:cs="Calibri" w:eastAsia="Calibri" w:hAnsi="Calibri"/>
                <w:sz w:val="19"/>
                <w:szCs w:val="19"/>
              </w:rPr>
              <w:t xml:space="preserve">2023</w:t>
            </w:r>
          </w:p>
        </w:tc>
        <w:tc>
          <w:tcPr>
            <w:tcW w:type="dxa" w:w="900"/>
            <w:tcMar>
              <w:top w:type="dxa" w:w="60"/>
              <w:left w:type="dxa" w:w="100"/>
              <w:bottom w:type="dxa" w:w="60"/>
              <w:right w:type="dxa" w:w="100"/>
            </w:tcMar>
          </w:tcPr>
          <w:p>
            <w:r>
              <w:rPr>
                <w:rFonts w:ascii="Calibri" w:cs="Calibri" w:eastAsia="Calibri" w:hAnsi="Calibri"/>
                <w:sz w:val="19"/>
                <w:szCs w:val="19"/>
              </w:rPr>
              <w:t xml:space="preserve">1.217</w:t>
            </w:r>
          </w:p>
        </w:tc>
        <w:tc>
          <w:tcPr>
            <w:tcW w:type="dxa" w:w="1750"/>
            <w:tcMar>
              <w:top w:type="dxa" w:w="60"/>
              <w:left w:type="dxa" w:w="100"/>
              <w:bottom w:type="dxa" w:w="60"/>
              <w:right w:type="dxa" w:w="100"/>
            </w:tcMar>
          </w:tcPr>
          <w:p>
            <w:r>
              <w:rPr>
                <w:rFonts w:ascii="Calibri" w:cs="Calibri" w:eastAsia="Calibri" w:hAnsi="Calibri"/>
                <w:sz w:val="19"/>
                <w:szCs w:val="19"/>
              </w:rPr>
              <w:t xml:space="preserve">−0.043</w:t>
            </w:r>
          </w:p>
        </w:tc>
        <w:tc>
          <w:tcPr>
            <w:tcW w:type="dxa" w:w="1400"/>
            <w:tcMar>
              <w:top w:type="dxa" w:w="60"/>
              <w:left w:type="dxa" w:w="100"/>
              <w:bottom w:type="dxa" w:w="60"/>
              <w:right w:type="dxa" w:w="100"/>
            </w:tcMar>
          </w:tcPr>
          <w:p>
            <w:r>
              <w:rPr>
                <w:rFonts w:ascii="Calibri" w:cs="Calibri" w:eastAsia="Calibri" w:hAnsi="Calibri"/>
                <w:sz w:val="19"/>
                <w:szCs w:val="19"/>
              </w:rPr>
              <w:t xml:space="preserve">0.047</w:t>
            </w:r>
          </w:p>
        </w:tc>
        <w:tc>
          <w:tcPr>
            <w:tcW w:type="dxa" w:w="1210"/>
            <w:tcMar>
              <w:top w:type="dxa" w:w="60"/>
              <w:left w:type="dxa" w:w="100"/>
              <w:bottom w:type="dxa" w:w="60"/>
              <w:right w:type="dxa" w:w="100"/>
            </w:tcMar>
          </w:tcPr>
          <w:p>
            <w:r>
              <w:rPr>
                <w:rFonts w:ascii="Calibri" w:cs="Calibri" w:eastAsia="Calibri" w:hAnsi="Calibri"/>
                <w:sz w:val="19"/>
                <w:szCs w:val="19"/>
              </w:rPr>
              <w:t xml:space="preserve">0.362</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M4: colorr_std</w:t>
            </w:r>
          </w:p>
        </w:tc>
        <w:tc>
          <w:tcPr>
            <w:tcW w:type="dxa" w:w="1500"/>
            <w:tcMar>
              <w:top w:type="dxa" w:w="60"/>
              <w:left w:type="dxa" w:w="100"/>
              <w:bottom w:type="dxa" w:w="60"/>
              <w:right w:type="dxa" w:w="100"/>
            </w:tcMar>
          </w:tcPr>
          <w:p>
            <w:r>
              <w:rPr>
                <w:rFonts w:ascii="Calibri" w:cs="Calibri" w:eastAsia="Calibri" w:hAnsi="Calibri"/>
                <w:sz w:val="19"/>
                <w:szCs w:val="19"/>
              </w:rPr>
              <w:t xml:space="preserve">pooled</w:t>
            </w:r>
          </w:p>
        </w:tc>
        <w:tc>
          <w:tcPr>
            <w:tcW w:type="dxa" w:w="900"/>
            <w:tcMar>
              <w:top w:type="dxa" w:w="60"/>
              <w:left w:type="dxa" w:w="100"/>
              <w:bottom w:type="dxa" w:w="60"/>
              <w:right w:type="dxa" w:w="100"/>
            </w:tcMar>
          </w:tcPr>
          <w:p>
            <w:r>
              <w:rPr>
                <w:rFonts w:ascii="Calibri" w:cs="Calibri" w:eastAsia="Calibri" w:hAnsi="Calibri"/>
                <w:sz w:val="19"/>
                <w:szCs w:val="19"/>
              </w:rPr>
              <w:t xml:space="preserve">5.806</w:t>
            </w:r>
          </w:p>
        </w:tc>
        <w:tc>
          <w:tcPr>
            <w:tcW w:type="dxa" w:w="1750"/>
            <w:tcMar>
              <w:top w:type="dxa" w:w="60"/>
              <w:left w:type="dxa" w:w="100"/>
              <w:bottom w:type="dxa" w:w="60"/>
              <w:right w:type="dxa" w:w="100"/>
            </w:tcMar>
          </w:tcPr>
          <w:p>
            <w:r>
              <w:rPr>
                <w:rFonts w:ascii="Calibri" w:cs="Calibri" w:eastAsia="Calibri" w:hAnsi="Calibri"/>
                <w:sz w:val="19"/>
                <w:szCs w:val="19"/>
              </w:rPr>
              <w:t xml:space="preserve">−0.801</w:t>
            </w:r>
          </w:p>
        </w:tc>
        <w:tc>
          <w:tcPr>
            <w:tcW w:type="dxa" w:w="1400"/>
            <w:tcMar>
              <w:top w:type="dxa" w:w="60"/>
              <w:left w:type="dxa" w:w="100"/>
              <w:bottom w:type="dxa" w:w="60"/>
              <w:right w:type="dxa" w:w="100"/>
            </w:tcMar>
          </w:tcPr>
          <w:p>
            <w:r>
              <w:rPr>
                <w:rFonts w:ascii="Calibri" w:cs="Calibri" w:eastAsia="Calibri" w:hAnsi="Calibri"/>
                <w:sz w:val="19"/>
                <w:szCs w:val="19"/>
              </w:rPr>
              <w:t xml:space="preserve">0.061</w:t>
            </w:r>
          </w:p>
        </w:tc>
        <w:tc>
          <w:tcPr>
            <w:tcW w:type="dxa" w:w="1210"/>
            <w:tcMar>
              <w:top w:type="dxa" w:w="60"/>
              <w:left w:type="dxa" w:w="100"/>
              <w:bottom w:type="dxa" w:w="60"/>
              <w:right w:type="dxa" w:w="100"/>
            </w:tcMar>
          </w:tcPr>
          <w:p>
            <w:r>
              <w:rPr>
                <w:rFonts w:ascii="Calibri" w:cs="Calibri" w:eastAsia="Calibri" w:hAnsi="Calibri"/>
                <w:sz w:val="19"/>
                <w:szCs w:val="19"/>
              </w:rPr>
              <w:t xml:space="preserve">&lt;0.001</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M5: colori_std + madre</w:t>
            </w:r>
          </w:p>
        </w:tc>
        <w:tc>
          <w:tcPr>
            <w:tcW w:type="dxa" w:w="1500"/>
            <w:tcMar>
              <w:top w:type="dxa" w:w="60"/>
              <w:left w:type="dxa" w:w="100"/>
              <w:bottom w:type="dxa" w:w="60"/>
              <w:right w:type="dxa" w:w="100"/>
            </w:tcMar>
          </w:tcPr>
          <w:p>
            <w:r>
              <w:rPr>
                <w:rFonts w:ascii="Calibri" w:cs="Calibri" w:eastAsia="Calibri" w:hAnsi="Calibri"/>
                <w:sz w:val="19"/>
                <w:szCs w:val="19"/>
              </w:rPr>
              <w:t xml:space="preserve">2012–17</w:t>
            </w:r>
          </w:p>
        </w:tc>
        <w:tc>
          <w:tcPr>
            <w:tcW w:type="dxa" w:w="900"/>
            <w:tcMar>
              <w:top w:type="dxa" w:w="60"/>
              <w:left w:type="dxa" w:w="100"/>
              <w:bottom w:type="dxa" w:w="60"/>
              <w:right w:type="dxa" w:w="100"/>
            </w:tcMar>
          </w:tcPr>
          <w:p>
            <w:r>
              <w:rPr>
                <w:rFonts w:ascii="Calibri" w:cs="Calibri" w:eastAsia="Calibri" w:hAnsi="Calibri"/>
                <w:sz w:val="19"/>
                <w:szCs w:val="19"/>
              </w:rPr>
              <w:t xml:space="preserve">2.751</w:t>
            </w:r>
          </w:p>
        </w:tc>
        <w:tc>
          <w:tcPr>
            <w:tcW w:type="dxa" w:w="1750"/>
            <w:tcMar>
              <w:top w:type="dxa" w:w="60"/>
              <w:left w:type="dxa" w:w="100"/>
              <w:bottom w:type="dxa" w:w="60"/>
              <w:right w:type="dxa" w:w="100"/>
            </w:tcMar>
          </w:tcPr>
          <w:p>
            <w:r>
              <w:rPr>
                <w:rFonts w:ascii="Calibri" w:cs="Calibri" w:eastAsia="Calibri" w:hAnsi="Calibri"/>
                <w:sz w:val="19"/>
                <w:szCs w:val="19"/>
              </w:rPr>
              <w:t xml:space="preserve">−0.106</w:t>
            </w:r>
          </w:p>
        </w:tc>
        <w:tc>
          <w:tcPr>
            <w:tcW w:type="dxa" w:w="1400"/>
            <w:tcMar>
              <w:top w:type="dxa" w:w="60"/>
              <w:left w:type="dxa" w:w="100"/>
              <w:bottom w:type="dxa" w:w="60"/>
              <w:right w:type="dxa" w:w="100"/>
            </w:tcMar>
          </w:tcPr>
          <w:p>
            <w:r>
              <w:rPr>
                <w:rFonts w:ascii="Calibri" w:cs="Calibri" w:eastAsia="Calibri" w:hAnsi="Calibri"/>
                <w:sz w:val="19"/>
                <w:szCs w:val="19"/>
              </w:rPr>
              <w:t xml:space="preserve">0.071</w:t>
            </w:r>
          </w:p>
        </w:tc>
        <w:tc>
          <w:tcPr>
            <w:tcW w:type="dxa" w:w="1210"/>
            <w:tcMar>
              <w:top w:type="dxa" w:w="60"/>
              <w:left w:type="dxa" w:w="100"/>
              <w:bottom w:type="dxa" w:w="60"/>
              <w:right w:type="dxa" w:w="100"/>
            </w:tcMar>
          </w:tcPr>
          <w:p>
            <w:r>
              <w:rPr>
                <w:rFonts w:ascii="Calibri" w:cs="Calibri" w:eastAsia="Calibri" w:hAnsi="Calibri"/>
                <w:sz w:val="19"/>
                <w:szCs w:val="19"/>
              </w:rPr>
              <w:t xml:space="preserve">0.134</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M5b: sin control madre</w:t>
            </w:r>
          </w:p>
        </w:tc>
        <w:tc>
          <w:tcPr>
            <w:tcW w:type="dxa" w:w="1500"/>
            <w:tcMar>
              <w:top w:type="dxa" w:w="60"/>
              <w:left w:type="dxa" w:w="100"/>
              <w:bottom w:type="dxa" w:w="60"/>
              <w:right w:type="dxa" w:w="100"/>
            </w:tcMar>
          </w:tcPr>
          <w:p>
            <w:r>
              <w:rPr>
                <w:rFonts w:ascii="Calibri" w:cs="Calibri" w:eastAsia="Calibri" w:hAnsi="Calibri"/>
                <w:sz w:val="19"/>
                <w:szCs w:val="19"/>
              </w:rPr>
              <w:t xml:space="preserve">2012–17</w:t>
            </w:r>
          </w:p>
        </w:tc>
        <w:tc>
          <w:tcPr>
            <w:tcW w:type="dxa" w:w="900"/>
            <w:tcMar>
              <w:top w:type="dxa" w:w="60"/>
              <w:left w:type="dxa" w:w="100"/>
              <w:bottom w:type="dxa" w:w="60"/>
              <w:right w:type="dxa" w:w="100"/>
            </w:tcMar>
          </w:tcPr>
          <w:p>
            <w:r>
              <w:rPr>
                <w:rFonts w:ascii="Calibri" w:cs="Calibri" w:eastAsia="Calibri" w:hAnsi="Calibri"/>
                <w:sz w:val="19"/>
                <w:szCs w:val="19"/>
              </w:rPr>
              <w:t xml:space="preserve">2.751</w:t>
            </w:r>
          </w:p>
        </w:tc>
        <w:tc>
          <w:tcPr>
            <w:tcW w:type="dxa" w:w="1750"/>
            <w:tcMar>
              <w:top w:type="dxa" w:w="60"/>
              <w:left w:type="dxa" w:w="100"/>
              <w:bottom w:type="dxa" w:w="60"/>
              <w:right w:type="dxa" w:w="100"/>
            </w:tcMar>
          </w:tcPr>
          <w:p>
            <w:r>
              <w:rPr>
                <w:rFonts w:ascii="Calibri" w:cs="Calibri" w:eastAsia="Calibri" w:hAnsi="Calibri"/>
                <w:sz w:val="19"/>
                <w:szCs w:val="19"/>
              </w:rPr>
              <w:t xml:space="preserve">−0.072</w:t>
            </w:r>
          </w:p>
        </w:tc>
        <w:tc>
          <w:tcPr>
            <w:tcW w:type="dxa" w:w="1400"/>
            <w:tcMar>
              <w:top w:type="dxa" w:w="60"/>
              <w:left w:type="dxa" w:w="100"/>
              <w:bottom w:type="dxa" w:w="60"/>
              <w:right w:type="dxa" w:w="100"/>
            </w:tcMar>
          </w:tcPr>
          <w:p>
            <w:r>
              <w:rPr>
                <w:rFonts w:ascii="Calibri" w:cs="Calibri" w:eastAsia="Calibri" w:hAnsi="Calibri"/>
                <w:sz w:val="19"/>
                <w:szCs w:val="19"/>
              </w:rPr>
              <w:t xml:space="preserve">0.099</w:t>
            </w:r>
          </w:p>
        </w:tc>
        <w:tc>
          <w:tcPr>
            <w:tcW w:type="dxa" w:w="1210"/>
            <w:tcMar>
              <w:top w:type="dxa" w:w="60"/>
              <w:left w:type="dxa" w:w="100"/>
              <w:bottom w:type="dxa" w:w="60"/>
              <w:right w:type="dxa" w:w="100"/>
            </w:tcMar>
          </w:tcPr>
          <w:p>
            <w:r>
              <w:rPr>
                <w:rFonts w:ascii="Calibri" w:cs="Calibri" w:eastAsia="Calibri" w:hAnsi="Calibri"/>
                <w:sz w:val="19"/>
                <w:szCs w:val="19"/>
              </w:rPr>
              <w:t xml:space="preserve">0.467</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M6: medio / oscuro</w:t>
            </w:r>
          </w:p>
        </w:tc>
        <w:tc>
          <w:tcPr>
            <w:tcW w:type="dxa" w:w="1500"/>
            <w:tcMar>
              <w:top w:type="dxa" w:w="60"/>
              <w:left w:type="dxa" w:w="100"/>
              <w:bottom w:type="dxa" w:w="60"/>
              <w:right w:type="dxa" w:w="100"/>
            </w:tcMar>
          </w:tcPr>
          <w:p>
            <w:r>
              <w:rPr>
                <w:rFonts w:ascii="Calibri" w:cs="Calibri" w:eastAsia="Calibri" w:hAnsi="Calibri"/>
                <w:sz w:val="19"/>
                <w:szCs w:val="19"/>
              </w:rPr>
              <w:t xml:space="preserve">pooled</w:t>
            </w:r>
          </w:p>
        </w:tc>
        <w:tc>
          <w:tcPr>
            <w:tcW w:type="dxa" w:w="900"/>
            <w:tcMar>
              <w:top w:type="dxa" w:w="60"/>
              <w:left w:type="dxa" w:w="100"/>
              <w:bottom w:type="dxa" w:w="60"/>
              <w:right w:type="dxa" w:w="100"/>
            </w:tcMar>
          </w:tcPr>
          <w:p>
            <w:r>
              <w:rPr>
                <w:rFonts w:ascii="Calibri" w:cs="Calibri" w:eastAsia="Calibri" w:hAnsi="Calibri"/>
                <w:sz w:val="19"/>
                <w:szCs w:val="19"/>
              </w:rPr>
              <w:t xml:space="preserve">5.807</w:t>
            </w:r>
          </w:p>
        </w:tc>
        <w:tc>
          <w:tcPr>
            <w:tcW w:type="dxa" w:w="1750"/>
            <w:tcMar>
              <w:top w:type="dxa" w:w="60"/>
              <w:left w:type="dxa" w:w="100"/>
              <w:bottom w:type="dxa" w:w="60"/>
              <w:right w:type="dxa" w:w="100"/>
            </w:tcMar>
          </w:tcPr>
          <w:p>
            <w:r>
              <w:rPr>
                <w:rFonts w:ascii="Calibri" w:cs="Calibri" w:eastAsia="Calibri" w:hAnsi="Calibri"/>
                <w:sz w:val="19"/>
                <w:szCs w:val="19"/>
              </w:rPr>
              <w:t xml:space="preserve">−0.259 / −0.302</w:t>
            </w:r>
          </w:p>
        </w:tc>
        <w:tc>
          <w:tcPr>
            <w:tcW w:type="dxa" w:w="1400"/>
            <w:tcMar>
              <w:top w:type="dxa" w:w="60"/>
              <w:left w:type="dxa" w:w="100"/>
              <w:bottom w:type="dxa" w:w="60"/>
              <w:right w:type="dxa" w:w="100"/>
            </w:tcMar>
          </w:tcPr>
          <w:p>
            <w:r>
              <w:rPr>
                <w:rFonts w:ascii="Calibri" w:cs="Calibri" w:eastAsia="Calibri" w:hAnsi="Calibri"/>
                <w:sz w:val="19"/>
                <w:szCs w:val="19"/>
              </w:rPr>
              <w:t xml:space="preserve">0.199 / 0.323</w:t>
            </w:r>
          </w:p>
        </w:tc>
        <w:tc>
          <w:tcPr>
            <w:tcW w:type="dxa" w:w="1210"/>
            <w:tcMar>
              <w:top w:type="dxa" w:w="60"/>
              <w:left w:type="dxa" w:w="100"/>
              <w:bottom w:type="dxa" w:w="60"/>
              <w:right w:type="dxa" w:w="100"/>
            </w:tcMar>
          </w:tcPr>
          <w:p>
            <w:r>
              <w:rPr>
                <w:rFonts w:ascii="Calibri" w:cs="Calibri" w:eastAsia="Calibri" w:hAnsi="Calibri"/>
                <w:sz w:val="19"/>
                <w:szCs w:val="19"/>
              </w:rPr>
              <w:t xml:space="preserve">0.194 / 0.350</w:t>
            </w:r>
          </w:p>
        </w:tc>
      </w:tr>
      <w:tr>
        <w:tc>
          <w:tcPr>
            <w:tcW w:type="dxa" w:w="2600"/>
            <w:tcMar>
              <w:top w:type="dxa" w:w="60"/>
              <w:left w:type="dxa" w:w="100"/>
              <w:bottom w:type="dxa" w:w="60"/>
              <w:right w:type="dxa" w:w="100"/>
            </w:tcMar>
          </w:tcPr>
          <w:p>
            <w:r>
              <w:rPr>
                <w:rFonts w:ascii="Calibri" w:cs="Calibri" w:eastAsia="Calibri" w:hAnsi="Calibri"/>
                <w:sz w:val="19"/>
                <w:szCs w:val="19"/>
              </w:rPr>
              <w:t xml:space="preserve">MH: interacción × joven</w:t>
            </w:r>
          </w:p>
        </w:tc>
        <w:tc>
          <w:tcPr>
            <w:tcW w:type="dxa" w:w="1500"/>
            <w:tcMar>
              <w:top w:type="dxa" w:w="60"/>
              <w:left w:type="dxa" w:w="100"/>
              <w:bottom w:type="dxa" w:w="60"/>
              <w:right w:type="dxa" w:w="100"/>
            </w:tcMar>
          </w:tcPr>
          <w:p>
            <w:r>
              <w:rPr>
                <w:rFonts w:ascii="Calibri" w:cs="Calibri" w:eastAsia="Calibri" w:hAnsi="Calibri"/>
                <w:sz w:val="19"/>
                <w:szCs w:val="19"/>
              </w:rPr>
              <w:t xml:space="preserve">pooled</w:t>
            </w:r>
          </w:p>
        </w:tc>
        <w:tc>
          <w:tcPr>
            <w:tcW w:type="dxa" w:w="900"/>
            <w:tcMar>
              <w:top w:type="dxa" w:w="60"/>
              <w:left w:type="dxa" w:w="100"/>
              <w:bottom w:type="dxa" w:w="60"/>
              <w:right w:type="dxa" w:w="100"/>
            </w:tcMar>
          </w:tcPr>
          <w:p>
            <w:r>
              <w:rPr>
                <w:rFonts w:ascii="Calibri" w:cs="Calibri" w:eastAsia="Calibri" w:hAnsi="Calibri"/>
                <w:sz w:val="19"/>
                <w:szCs w:val="19"/>
              </w:rPr>
              <w:t xml:space="preserve">5.807</w:t>
            </w:r>
          </w:p>
        </w:tc>
        <w:tc>
          <w:tcPr>
            <w:tcW w:type="dxa" w:w="1750"/>
            <w:tcMar>
              <w:top w:type="dxa" w:w="60"/>
              <w:left w:type="dxa" w:w="100"/>
              <w:bottom w:type="dxa" w:w="60"/>
              <w:right w:type="dxa" w:w="100"/>
            </w:tcMar>
          </w:tcPr>
          <w:p>
            <w:r>
              <w:rPr>
                <w:rFonts w:ascii="Calibri" w:cs="Calibri" w:eastAsia="Calibri" w:hAnsi="Calibri"/>
                <w:sz w:val="19"/>
                <w:szCs w:val="19"/>
              </w:rPr>
              <w:t xml:space="preserve">+0.049</w:t>
            </w:r>
          </w:p>
        </w:tc>
        <w:tc>
          <w:tcPr>
            <w:tcW w:type="dxa" w:w="1400"/>
            <w:tcMar>
              <w:top w:type="dxa" w:w="60"/>
              <w:left w:type="dxa" w:w="100"/>
              <w:bottom w:type="dxa" w:w="60"/>
              <w:right w:type="dxa" w:w="100"/>
            </w:tcMar>
          </w:tcPr>
          <w:p>
            <w:r>
              <w:rPr>
                <w:rFonts w:ascii="Calibri" w:cs="Calibri" w:eastAsia="Calibri" w:hAnsi="Calibri"/>
                <w:sz w:val="19"/>
                <w:szCs w:val="19"/>
              </w:rPr>
              <w:t xml:space="preserve">0.094</w:t>
            </w:r>
          </w:p>
        </w:tc>
        <w:tc>
          <w:tcPr>
            <w:tcW w:type="dxa" w:w="1210"/>
            <w:tcMar>
              <w:top w:type="dxa" w:w="60"/>
              <w:left w:type="dxa" w:w="100"/>
              <w:bottom w:type="dxa" w:w="60"/>
              <w:right w:type="dxa" w:w="100"/>
            </w:tcMar>
          </w:tcPr>
          <w:p>
            <w:r>
              <w:rPr>
                <w:rFonts w:ascii="Calibri" w:cs="Calibri" w:eastAsia="Calibri" w:hAnsi="Calibri"/>
                <w:sz w:val="19"/>
                <w:szCs w:val="19"/>
              </w:rPr>
              <w:t xml:space="preserve">0.605</w:t>
            </w:r>
          </w:p>
        </w:tc>
      </w:tr>
    </w:tbl>
    <w:p>
      <w:pPr>
        <w:spacing w:after="120"/>
      </w:pPr>
      <w:r>
        <w:rPr>
          <w:rFonts w:ascii="Calibri" w:cs="Calibri" w:eastAsia="Calibri" w:hAnsi="Calibri"/>
          <w:i/>
          <w:iCs/>
          <w:color w:val="555555"/>
          <w:sz w:val="20"/>
          <w:szCs w:val="20"/>
        </w:rPr>
        <w:t xml:space="preserve">Descriptivo ponderado (años de educación, 25+, 2010–2019): claro 10.71 · medio 10.17 · oscuro 10.15.</w:t>
      </w:r>
    </w:p>
    <w:p>
      <w:pPr>
        <w:pStyle w:val="Heading2"/>
        <w:spacing w:after="110" w:before="220"/>
      </w:pPr>
      <w:r>
        <w:rPr>
          <w:rFonts w:ascii="Calibri" w:cs="Calibri" w:eastAsia="Calibri" w:hAnsi="Calibri"/>
        </w:rPr>
        <w:t xml:space="preserve">Lectura preliminar</w:t>
      </w:r>
    </w:p>
    <w:p>
      <w:pPr>
        <w:pStyle w:val="ListParagraph"/>
        <w:numPr>
          <w:ilvl w:val="0"/>
          <w:numId w:val="2"/>
        </w:numPr>
        <w:spacing w:after="100"/>
      </w:pPr>
      <w:r>
        <w:rPr>
          <w:rFonts w:ascii="Calibri" w:cs="Calibri" w:eastAsia="Calibri" w:hAnsi="Calibri"/>
          <w:sz w:val="22"/>
          <w:szCs w:val="22"/>
        </w:rPr>
        <w:t xml:space="preserve">Con la medida del encuestador, la penalidad de color en Argentina es chica e imprecisa (−0.13 años/SD, p≈0.10) — muy por debajo del rango PERLA (−0.38 a −0.71). El IC es consistente con cero y con efectos de hasta ~−0.3.</w:t>
      </w:r>
    </w:p>
    <w:p>
      <w:pPr>
        <w:pStyle w:val="ListParagraph"/>
        <w:numPr>
          <w:ilvl w:val="0"/>
          <w:numId w:val="2"/>
        </w:numPr>
        <w:spacing w:after="100"/>
      </w:pPr>
      <w:r>
        <w:rPr>
          <w:rFonts w:ascii="Calibri" w:cs="Calibri" w:eastAsia="Calibri" w:hAnsi="Calibri"/>
          <w:sz w:val="22"/>
          <w:szCs w:val="22"/>
        </w:rPr>
        <w:t xml:space="preserve">El contraste M1 vs. M4 (−0.13 vs. −0.80) es el hallazgo central: el gradiente fuerte aparece solo con la medida contaminada por estatus. Mecanismo visible en los datos: los educados se auto-reportan más claros de lo que los ve el encuestador.</w:t>
      </w:r>
    </w:p>
    <w:p>
      <w:pPr>
        <w:pStyle w:val="ListParagraph"/>
        <w:numPr>
          <w:ilvl w:val="0"/>
          <w:numId w:val="2"/>
        </w:numPr>
        <w:spacing w:after="100"/>
      </w:pPr>
      <w:r>
        <w:rPr>
          <w:rFonts w:ascii="Calibri" w:cs="Calibri" w:eastAsia="Calibri" w:hAnsi="Calibri"/>
          <w:sz w:val="22"/>
          <w:szCs w:val="22"/>
        </w:rPr>
        <w:t xml:space="preserve">La categoría le gana al color: autoidentificarse blanco suma +0.79 años condicional en el tono observado. La frontera simbólica "blanco/no blanco" parece más operativa que el gradiente cromático — consistente con la tesis del crisol que abolió la raza sin abolir la jerarquía.</w:t>
      </w:r>
    </w:p>
    <w:p>
      <w:pPr>
        <w:pStyle w:val="ListParagraph"/>
        <w:numPr>
          <w:ilvl w:val="0"/>
          <w:numId w:val="2"/>
        </w:numPr>
        <w:spacing w:after="100"/>
      </w:pPr>
      <w:r>
        <w:rPr>
          <w:rFonts w:ascii="Calibri" w:cs="Calibri" w:eastAsia="Calibri" w:hAnsi="Calibri"/>
          <w:sz w:val="22"/>
          <w:szCs w:val="22"/>
        </w:rPr>
        <w:t xml:space="preserve">Sin atenuación por cohorte; el control por educación de la madre no altera nada (aunque esa submuestra ya venía sin efecto: test débil).</w:t>
      </w:r>
    </w:p>
    <w:p>
      <w:pPr>
        <w:pStyle w:val="Heading1"/>
        <w:spacing w:after="140" w:before="280"/>
      </w:pPr>
      <w:r>
        <w:rPr>
          <w:rFonts w:ascii="Calibri" w:cs="Calibri" w:eastAsia="Calibri" w:hAnsi="Calibri"/>
        </w:rPr>
        <w:t xml:space="preserve">6. Caveats</w:t>
      </w:r>
    </w:p>
    <w:p>
      <w:pPr>
        <w:spacing w:after="120"/>
      </w:pPr>
      <w:r>
        <w:rPr>
          <w:rFonts w:ascii="Calibri" w:cs="Calibri" w:eastAsia="Calibri" w:hAnsi="Calibri"/>
          <w:sz w:val="22"/>
          <w:szCs w:val="22"/>
        </w:rPr>
        <w:t xml:space="preserve">Distribución de colori truncada (solo ~6% con valores 6+; 377 observaciones en el bin oscuro), lo que limita la potencia en el extremo. La evaluación del encuestador puede incorporar señales de estatus del entrevistado (sesgo hacia encontrar efecto — y aun así casi no lo hay). No hay ID de entrevistador en el merge para efectos fijos de entrevistador. ed2 disponible solo en tres olas.</w:t>
      </w:r>
    </w:p>
    <w:p>
      <w:pPr>
        <w:pStyle w:val="Heading1"/>
        <w:spacing w:after="140" w:before="280"/>
      </w:pPr>
      <w:r>
        <w:rPr>
          <w:rFonts w:ascii="Calibri" w:cs="Calibri" w:eastAsia="Calibri" w:hAnsi="Calibri"/>
        </w:rPr>
        <w:t xml:space="preserve">7. Comparativa sudamericana à la Telles (v0.2)</w:t>
      </w:r>
    </w:p>
    <w:p>
      <w:pPr>
        <w:spacing w:after="120"/>
      </w:pPr>
      <w:r>
        <w:rPr>
          <w:rFonts w:ascii="Calibri" w:cs="Calibri" w:eastAsia="Calibri" w:hAnsi="Calibri"/>
          <w:sz w:val="22"/>
          <w:szCs w:val="22"/>
        </w:rPr>
        <w:t xml:space="preserve">Datos: subset del Grand Merge (data/sudamerica_subset.dta): 12 países, olas 2010–2019 con colori y ed, ~76.000 observaciones 25+. Especificación: espejo exacto de M1 por país, con colori en escala cruda 1–11 (efecto por punto) — estandarizar dentro de cada país mezclaría diferencias de efecto con diferencias de varianza del color. Para comparabilidad se reporta el efecto por SD pooled (1.69 puntos). Pooled con weight1500 (estandariza cada país-ola) e interacciones país × color con base Argentina. Código: R/03_models_southamerica.R.</w:t>
      </w:r>
    </w:p>
    <w:p>
      <w:pPr>
        <w:pStyle w:val="Heading2"/>
        <w:spacing w:after="110" w:before="220"/>
      </w:pPr>
      <w:r>
        <w:rPr>
          <w:rFonts w:ascii="Calibri" w:cs="Calibri" w:eastAsia="Calibri" w:hAnsi="Calibri"/>
        </w:rPr>
        <w:t xml:space="preserve">7.1 Penalidad de color por país (años de educación por +1 SD pooled)</w:t>
      </w:r>
    </w:p>
    <w:p>
      <w:pPr>
        <w:spacing w:after="140"/>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10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400"/>
        <w:gridCol w:w="2560"/>
        <w:gridCol w:w="2000"/>
      </w:tblGrid>
      <w:tr>
        <w:tc>
          <w:tcPr>
            <w:tcW w:type="dxa" w:w="2100"/>
            <w:shd w:fill="E8EEF7" w:val="clear"/>
            <w:tcMar>
              <w:top w:type="dxa" w:w="60"/>
              <w:left w:type="dxa" w:w="100"/>
              <w:bottom w:type="dxa" w:w="60"/>
              <w:right w:type="dxa" w:w="100"/>
            </w:tcMar>
          </w:tcPr>
          <w:p>
            <w:r>
              <w:rPr>
                <w:rFonts w:ascii="Calibri" w:cs="Calibri" w:eastAsia="Calibri" w:hAnsi="Calibri"/>
                <w:b/>
                <w:bCs/>
                <w:sz w:val="19"/>
                <w:szCs w:val="19"/>
              </w:rPr>
              <w:t xml:space="preserve">País</w:t>
            </w:r>
          </w:p>
        </w:tc>
        <w:tc>
          <w:tcPr>
            <w:tcW w:type="dxa" w:w="1300"/>
            <w:shd w:fill="E8EEF7" w:val="clear"/>
            <w:tcMar>
              <w:top w:type="dxa" w:w="60"/>
              <w:left w:type="dxa" w:w="100"/>
              <w:bottom w:type="dxa" w:w="60"/>
              <w:right w:type="dxa" w:w="100"/>
            </w:tcMar>
          </w:tcPr>
          <w:p>
            <w:r>
              <w:rPr>
                <w:rFonts w:ascii="Calibri" w:cs="Calibri" w:eastAsia="Calibri" w:hAnsi="Calibri"/>
                <w:b/>
                <w:bCs/>
                <w:sz w:val="19"/>
                <w:szCs w:val="19"/>
              </w:rPr>
              <w:t xml:space="preserve">N</w:t>
            </w:r>
          </w:p>
        </w:tc>
        <w:tc>
          <w:tcPr>
            <w:tcW w:type="dxa" w:w="1400"/>
            <w:shd w:fill="E8EEF7" w:val="clear"/>
            <w:tcMar>
              <w:top w:type="dxa" w:w="60"/>
              <w:left w:type="dxa" w:w="100"/>
              <w:bottom w:type="dxa" w:w="60"/>
              <w:right w:type="dxa" w:w="100"/>
            </w:tcMar>
          </w:tcPr>
          <w:p>
            <w:r>
              <w:rPr>
                <w:rFonts w:ascii="Calibri" w:cs="Calibri" w:eastAsia="Calibri" w:hAnsi="Calibri"/>
                <w:b/>
                <w:bCs/>
                <w:sz w:val="19"/>
                <w:szCs w:val="19"/>
              </w:rPr>
              <w:t xml:space="preserve">β/SD</w:t>
            </w:r>
          </w:p>
        </w:tc>
        <w:tc>
          <w:tcPr>
            <w:tcW w:type="dxa" w:w="2560"/>
            <w:shd w:fill="E8EEF7" w:val="clear"/>
            <w:tcMar>
              <w:top w:type="dxa" w:w="60"/>
              <w:left w:type="dxa" w:w="100"/>
              <w:bottom w:type="dxa" w:w="60"/>
              <w:right w:type="dxa" w:w="100"/>
            </w:tcMar>
          </w:tcPr>
          <w:p>
            <w:r>
              <w:rPr>
                <w:rFonts w:ascii="Calibri" w:cs="Calibri" w:eastAsia="Calibri" w:hAnsi="Calibri"/>
                <w:b/>
                <w:bCs/>
                <w:sz w:val="19"/>
                <w:szCs w:val="19"/>
              </w:rPr>
              <w:t xml:space="preserve">IC 95%</w:t>
            </w:r>
          </w:p>
        </w:tc>
        <w:tc>
          <w:tcPr>
            <w:tcW w:type="dxa" w:w="2000"/>
            <w:shd w:fill="E8EEF7" w:val="clear"/>
            <w:tcMar>
              <w:top w:type="dxa" w:w="60"/>
              <w:left w:type="dxa" w:w="100"/>
              <w:bottom w:type="dxa" w:w="60"/>
              <w:right w:type="dxa" w:w="100"/>
            </w:tcMar>
          </w:tcPr>
          <w:p>
            <w:r>
              <w:rPr>
                <w:rFonts w:ascii="Calibri" w:cs="Calibri" w:eastAsia="Calibri" w:hAnsi="Calibri"/>
                <w:b/>
                <w:bCs/>
                <w:sz w:val="19"/>
                <w:szCs w:val="19"/>
              </w:rPr>
              <w:t xml:space="preserve">p</w:t>
            </w:r>
          </w:p>
        </w:tc>
      </w:tr>
      <w:tr>
        <w:tc>
          <w:tcPr>
            <w:tcW w:type="dxa" w:w="2100"/>
            <w:tcMar>
              <w:top w:type="dxa" w:w="60"/>
              <w:left w:type="dxa" w:w="100"/>
              <w:bottom w:type="dxa" w:w="60"/>
              <w:right w:type="dxa" w:w="100"/>
            </w:tcMar>
          </w:tcPr>
          <w:p>
            <w:r>
              <w:rPr>
                <w:rFonts w:ascii="Calibri" w:cs="Calibri" w:eastAsia="Calibri" w:hAnsi="Calibri"/>
                <w:sz w:val="19"/>
                <w:szCs w:val="19"/>
              </w:rPr>
              <w:t xml:space="preserve">Uruguay</w:t>
            </w:r>
          </w:p>
        </w:tc>
        <w:tc>
          <w:tcPr>
            <w:tcW w:type="dxa" w:w="1300"/>
            <w:tcMar>
              <w:top w:type="dxa" w:w="60"/>
              <w:left w:type="dxa" w:w="100"/>
              <w:bottom w:type="dxa" w:w="60"/>
              <w:right w:type="dxa" w:w="100"/>
            </w:tcMar>
          </w:tcPr>
          <w:p>
            <w:r>
              <w:rPr>
                <w:rFonts w:ascii="Calibri" w:cs="Calibri" w:eastAsia="Calibri" w:hAnsi="Calibri"/>
                <w:sz w:val="19"/>
                <w:szCs w:val="19"/>
              </w:rPr>
              <w:t xml:space="preserve">6.524</w:t>
            </w:r>
          </w:p>
        </w:tc>
        <w:tc>
          <w:tcPr>
            <w:tcW w:type="dxa" w:w="1400"/>
            <w:tcMar>
              <w:top w:type="dxa" w:w="60"/>
              <w:left w:type="dxa" w:w="100"/>
              <w:bottom w:type="dxa" w:w="60"/>
              <w:right w:type="dxa" w:w="100"/>
            </w:tcMar>
          </w:tcPr>
          <w:p>
            <w:r>
              <w:rPr>
                <w:rFonts w:ascii="Calibri" w:cs="Calibri" w:eastAsia="Calibri" w:hAnsi="Calibri"/>
                <w:sz w:val="19"/>
                <w:szCs w:val="19"/>
              </w:rPr>
              <w:t xml:space="preserve">−0.71</w:t>
            </w:r>
          </w:p>
        </w:tc>
        <w:tc>
          <w:tcPr>
            <w:tcW w:type="dxa" w:w="2560"/>
            <w:tcMar>
              <w:top w:type="dxa" w:w="60"/>
              <w:left w:type="dxa" w:w="100"/>
              <w:bottom w:type="dxa" w:w="60"/>
              <w:right w:type="dxa" w:w="100"/>
            </w:tcMar>
          </w:tcPr>
          <w:p>
            <w:r>
              <w:rPr>
                <w:rFonts w:ascii="Calibri" w:cs="Calibri" w:eastAsia="Calibri" w:hAnsi="Calibri"/>
                <w:sz w:val="19"/>
                <w:szCs w:val="19"/>
              </w:rPr>
              <w:t xml:space="preserve">[−0.92, −0.50]</w:t>
            </w:r>
          </w:p>
        </w:tc>
        <w:tc>
          <w:tcPr>
            <w:tcW w:type="dxa" w:w="2000"/>
            <w:tcMar>
              <w:top w:type="dxa" w:w="60"/>
              <w:left w:type="dxa" w:w="100"/>
              <w:bottom w:type="dxa" w:w="60"/>
              <w:right w:type="dxa" w:w="100"/>
            </w:tcMar>
          </w:tcPr>
          <w:p>
            <w:r>
              <w:rPr>
                <w:rFonts w:ascii="Calibri" w:cs="Calibri" w:eastAsia="Calibri" w:hAnsi="Calibri"/>
                <w:sz w:val="19"/>
                <w:szCs w:val="19"/>
              </w:rPr>
              <w:t xml:space="preserve">&lt;0.001</w:t>
            </w:r>
          </w:p>
        </w:tc>
      </w:tr>
      <w:tr>
        <w:tc>
          <w:tcPr>
            <w:tcW w:type="dxa" w:w="2100"/>
            <w:tcMar>
              <w:top w:type="dxa" w:w="60"/>
              <w:left w:type="dxa" w:w="100"/>
              <w:bottom w:type="dxa" w:w="60"/>
              <w:right w:type="dxa" w:w="100"/>
            </w:tcMar>
          </w:tcPr>
          <w:p>
            <w:r>
              <w:rPr>
                <w:rFonts w:ascii="Calibri" w:cs="Calibri" w:eastAsia="Calibri" w:hAnsi="Calibri"/>
                <w:sz w:val="19"/>
                <w:szCs w:val="19"/>
              </w:rPr>
              <w:t xml:space="preserve">Bolivia</w:t>
            </w:r>
          </w:p>
        </w:tc>
        <w:tc>
          <w:tcPr>
            <w:tcW w:type="dxa" w:w="1300"/>
            <w:tcMar>
              <w:top w:type="dxa" w:w="60"/>
              <w:left w:type="dxa" w:w="100"/>
              <w:bottom w:type="dxa" w:w="60"/>
              <w:right w:type="dxa" w:w="100"/>
            </w:tcMar>
          </w:tcPr>
          <w:p>
            <w:r>
              <w:rPr>
                <w:rFonts w:ascii="Calibri" w:cs="Calibri" w:eastAsia="Calibri" w:hAnsi="Calibri"/>
                <w:sz w:val="19"/>
                <w:szCs w:val="19"/>
              </w:rPr>
              <w:t xml:space="preserve">9.547</w:t>
            </w:r>
          </w:p>
        </w:tc>
        <w:tc>
          <w:tcPr>
            <w:tcW w:type="dxa" w:w="1400"/>
            <w:tcMar>
              <w:top w:type="dxa" w:w="60"/>
              <w:left w:type="dxa" w:w="100"/>
              <w:bottom w:type="dxa" w:w="60"/>
              <w:right w:type="dxa" w:w="100"/>
            </w:tcMar>
          </w:tcPr>
          <w:p>
            <w:r>
              <w:rPr>
                <w:rFonts w:ascii="Calibri" w:cs="Calibri" w:eastAsia="Calibri" w:hAnsi="Calibri"/>
                <w:sz w:val="19"/>
                <w:szCs w:val="19"/>
              </w:rPr>
              <w:t xml:space="preserve">−0.53</w:t>
            </w:r>
          </w:p>
        </w:tc>
        <w:tc>
          <w:tcPr>
            <w:tcW w:type="dxa" w:w="2560"/>
            <w:tcMar>
              <w:top w:type="dxa" w:w="60"/>
              <w:left w:type="dxa" w:w="100"/>
              <w:bottom w:type="dxa" w:w="60"/>
              <w:right w:type="dxa" w:w="100"/>
            </w:tcMar>
          </w:tcPr>
          <w:p>
            <w:r>
              <w:rPr>
                <w:rFonts w:ascii="Calibri" w:cs="Calibri" w:eastAsia="Calibri" w:hAnsi="Calibri"/>
                <w:sz w:val="19"/>
                <w:szCs w:val="19"/>
              </w:rPr>
              <w:t xml:space="preserve">[−0.76, −0.30]</w:t>
            </w:r>
          </w:p>
        </w:tc>
        <w:tc>
          <w:tcPr>
            <w:tcW w:type="dxa" w:w="2000"/>
            <w:tcMar>
              <w:top w:type="dxa" w:w="60"/>
              <w:left w:type="dxa" w:w="100"/>
              <w:bottom w:type="dxa" w:w="60"/>
              <w:right w:type="dxa" w:w="100"/>
            </w:tcMar>
          </w:tcPr>
          <w:p>
            <w:r>
              <w:rPr>
                <w:rFonts w:ascii="Calibri" w:cs="Calibri" w:eastAsia="Calibri" w:hAnsi="Calibri"/>
                <w:sz w:val="19"/>
                <w:szCs w:val="19"/>
              </w:rPr>
              <w:t xml:space="preserve">&lt;0.001</w:t>
            </w:r>
          </w:p>
        </w:tc>
      </w:tr>
      <w:tr>
        <w:tc>
          <w:tcPr>
            <w:tcW w:type="dxa" w:w="2100"/>
            <w:tcMar>
              <w:top w:type="dxa" w:w="60"/>
              <w:left w:type="dxa" w:w="100"/>
              <w:bottom w:type="dxa" w:w="60"/>
              <w:right w:type="dxa" w:w="100"/>
            </w:tcMar>
          </w:tcPr>
          <w:p>
            <w:r>
              <w:rPr>
                <w:rFonts w:ascii="Calibri" w:cs="Calibri" w:eastAsia="Calibri" w:hAnsi="Calibri"/>
                <w:sz w:val="19"/>
                <w:szCs w:val="19"/>
              </w:rPr>
              <w:t xml:space="preserve">Surinam</w:t>
            </w:r>
          </w:p>
        </w:tc>
        <w:tc>
          <w:tcPr>
            <w:tcW w:type="dxa" w:w="1300"/>
            <w:tcMar>
              <w:top w:type="dxa" w:w="60"/>
              <w:left w:type="dxa" w:w="100"/>
              <w:bottom w:type="dxa" w:w="60"/>
              <w:right w:type="dxa" w:w="100"/>
            </w:tcMar>
          </w:tcPr>
          <w:p>
            <w:r>
              <w:rPr>
                <w:rFonts w:ascii="Calibri" w:cs="Calibri" w:eastAsia="Calibri" w:hAnsi="Calibri"/>
                <w:sz w:val="19"/>
                <w:szCs w:val="19"/>
              </w:rPr>
              <w:t xml:space="preserve">5.527</w:t>
            </w:r>
          </w:p>
        </w:tc>
        <w:tc>
          <w:tcPr>
            <w:tcW w:type="dxa" w:w="1400"/>
            <w:tcMar>
              <w:top w:type="dxa" w:w="60"/>
              <w:left w:type="dxa" w:w="100"/>
              <w:bottom w:type="dxa" w:w="60"/>
              <w:right w:type="dxa" w:w="100"/>
            </w:tcMar>
          </w:tcPr>
          <w:p>
            <w:r>
              <w:rPr>
                <w:rFonts w:ascii="Calibri" w:cs="Calibri" w:eastAsia="Calibri" w:hAnsi="Calibri"/>
                <w:sz w:val="19"/>
                <w:szCs w:val="19"/>
              </w:rPr>
              <w:t xml:space="preserve">−0.29</w:t>
            </w:r>
          </w:p>
        </w:tc>
        <w:tc>
          <w:tcPr>
            <w:tcW w:type="dxa" w:w="2560"/>
            <w:tcMar>
              <w:top w:type="dxa" w:w="60"/>
              <w:left w:type="dxa" w:w="100"/>
              <w:bottom w:type="dxa" w:w="60"/>
              <w:right w:type="dxa" w:w="100"/>
            </w:tcMar>
          </w:tcPr>
          <w:p>
            <w:r>
              <w:rPr>
                <w:rFonts w:ascii="Calibri" w:cs="Calibri" w:eastAsia="Calibri" w:hAnsi="Calibri"/>
                <w:sz w:val="19"/>
                <w:szCs w:val="19"/>
              </w:rPr>
              <w:t xml:space="preserve">[−0.46, −0.12]</w:t>
            </w:r>
          </w:p>
        </w:tc>
        <w:tc>
          <w:tcPr>
            <w:tcW w:type="dxa" w:w="2000"/>
            <w:tcMar>
              <w:top w:type="dxa" w:w="60"/>
              <w:left w:type="dxa" w:w="100"/>
              <w:bottom w:type="dxa" w:w="60"/>
              <w:right w:type="dxa" w:w="100"/>
            </w:tcMar>
          </w:tcPr>
          <w:p>
            <w:r>
              <w:rPr>
                <w:rFonts w:ascii="Calibri" w:cs="Calibri" w:eastAsia="Calibri" w:hAnsi="Calibri"/>
                <w:sz w:val="19"/>
                <w:szCs w:val="19"/>
              </w:rPr>
              <w:t xml:space="preserve">0.001</w:t>
            </w:r>
          </w:p>
        </w:tc>
      </w:tr>
      <w:tr>
        <w:tc>
          <w:tcPr>
            <w:tcW w:type="dxa" w:w="2100"/>
            <w:tcMar>
              <w:top w:type="dxa" w:w="60"/>
              <w:left w:type="dxa" w:w="100"/>
              <w:bottom w:type="dxa" w:w="60"/>
              <w:right w:type="dxa" w:w="100"/>
            </w:tcMar>
          </w:tcPr>
          <w:p>
            <w:r>
              <w:rPr>
                <w:rFonts w:ascii="Calibri" w:cs="Calibri" w:eastAsia="Calibri" w:hAnsi="Calibri"/>
                <w:sz w:val="19"/>
                <w:szCs w:val="19"/>
              </w:rPr>
              <w:t xml:space="preserve">Ecuador</w:t>
            </w:r>
          </w:p>
        </w:tc>
        <w:tc>
          <w:tcPr>
            <w:tcW w:type="dxa" w:w="1300"/>
            <w:tcMar>
              <w:top w:type="dxa" w:w="60"/>
              <w:left w:type="dxa" w:w="100"/>
              <w:bottom w:type="dxa" w:w="60"/>
              <w:right w:type="dxa" w:w="100"/>
            </w:tcMar>
          </w:tcPr>
          <w:p>
            <w:r>
              <w:rPr>
                <w:rFonts w:ascii="Calibri" w:cs="Calibri" w:eastAsia="Calibri" w:hAnsi="Calibri"/>
                <w:sz w:val="19"/>
                <w:szCs w:val="19"/>
              </w:rPr>
              <w:t xml:space="preserve">6.955</w:t>
            </w:r>
          </w:p>
        </w:tc>
        <w:tc>
          <w:tcPr>
            <w:tcW w:type="dxa" w:w="1400"/>
            <w:tcMar>
              <w:top w:type="dxa" w:w="60"/>
              <w:left w:type="dxa" w:w="100"/>
              <w:bottom w:type="dxa" w:w="60"/>
              <w:right w:type="dxa" w:w="100"/>
            </w:tcMar>
          </w:tcPr>
          <w:p>
            <w:r>
              <w:rPr>
                <w:rFonts w:ascii="Calibri" w:cs="Calibri" w:eastAsia="Calibri" w:hAnsi="Calibri"/>
                <w:sz w:val="19"/>
                <w:szCs w:val="19"/>
              </w:rPr>
              <w:t xml:space="preserve">−0.27</w:t>
            </w:r>
          </w:p>
        </w:tc>
        <w:tc>
          <w:tcPr>
            <w:tcW w:type="dxa" w:w="2560"/>
            <w:tcMar>
              <w:top w:type="dxa" w:w="60"/>
              <w:left w:type="dxa" w:w="100"/>
              <w:bottom w:type="dxa" w:w="60"/>
              <w:right w:type="dxa" w:w="100"/>
            </w:tcMar>
          </w:tcPr>
          <w:p>
            <w:r>
              <w:rPr>
                <w:rFonts w:ascii="Calibri" w:cs="Calibri" w:eastAsia="Calibri" w:hAnsi="Calibri"/>
                <w:sz w:val="19"/>
                <w:szCs w:val="19"/>
              </w:rPr>
              <w:t xml:space="preserve">[−0.45, −0.08]</w:t>
            </w:r>
          </w:p>
        </w:tc>
        <w:tc>
          <w:tcPr>
            <w:tcW w:type="dxa" w:w="2000"/>
            <w:tcMar>
              <w:top w:type="dxa" w:w="60"/>
              <w:left w:type="dxa" w:w="100"/>
              <w:bottom w:type="dxa" w:w="60"/>
              <w:right w:type="dxa" w:w="100"/>
            </w:tcMar>
          </w:tcPr>
          <w:p>
            <w:r>
              <w:rPr>
                <w:rFonts w:ascii="Calibri" w:cs="Calibri" w:eastAsia="Calibri" w:hAnsi="Calibri"/>
                <w:sz w:val="19"/>
                <w:szCs w:val="19"/>
              </w:rPr>
              <w:t xml:space="preserve">0.006</w:t>
            </w:r>
          </w:p>
        </w:tc>
      </w:tr>
      <w:tr>
        <w:tc>
          <w:tcPr>
            <w:tcW w:type="dxa" w:w="2100"/>
            <w:tcMar>
              <w:top w:type="dxa" w:w="60"/>
              <w:left w:type="dxa" w:w="100"/>
              <w:bottom w:type="dxa" w:w="60"/>
              <w:right w:type="dxa" w:w="100"/>
            </w:tcMar>
          </w:tcPr>
          <w:p>
            <w:r>
              <w:rPr>
                <w:rFonts w:ascii="Calibri" w:cs="Calibri" w:eastAsia="Calibri" w:hAnsi="Calibri"/>
                <w:sz w:val="19"/>
                <w:szCs w:val="19"/>
              </w:rPr>
              <w:t xml:space="preserve">Argentina</w:t>
            </w:r>
          </w:p>
        </w:tc>
        <w:tc>
          <w:tcPr>
            <w:tcW w:type="dxa" w:w="1300"/>
            <w:tcMar>
              <w:top w:type="dxa" w:w="60"/>
              <w:left w:type="dxa" w:w="100"/>
              <w:bottom w:type="dxa" w:w="60"/>
              <w:right w:type="dxa" w:w="100"/>
            </w:tcMar>
          </w:tcPr>
          <w:p>
            <w:r>
              <w:rPr>
                <w:rFonts w:ascii="Calibri" w:cs="Calibri" w:eastAsia="Calibri" w:hAnsi="Calibri"/>
                <w:sz w:val="19"/>
                <w:szCs w:val="19"/>
              </w:rPr>
              <w:t xml:space="preserve">5.807</w:t>
            </w:r>
          </w:p>
        </w:tc>
        <w:tc>
          <w:tcPr>
            <w:tcW w:type="dxa" w:w="1400"/>
            <w:tcMar>
              <w:top w:type="dxa" w:w="60"/>
              <w:left w:type="dxa" w:w="100"/>
              <w:bottom w:type="dxa" w:w="60"/>
              <w:right w:type="dxa" w:w="100"/>
            </w:tcMar>
          </w:tcPr>
          <w:p>
            <w:r>
              <w:rPr>
                <w:rFonts w:ascii="Calibri" w:cs="Calibri" w:eastAsia="Calibri" w:hAnsi="Calibri"/>
                <w:sz w:val="19"/>
                <w:szCs w:val="19"/>
              </w:rPr>
              <w:t xml:space="preserve">−0.16</w:t>
            </w:r>
          </w:p>
        </w:tc>
        <w:tc>
          <w:tcPr>
            <w:tcW w:type="dxa" w:w="2560"/>
            <w:tcMar>
              <w:top w:type="dxa" w:w="60"/>
              <w:left w:type="dxa" w:w="100"/>
              <w:bottom w:type="dxa" w:w="60"/>
              <w:right w:type="dxa" w:w="100"/>
            </w:tcMar>
          </w:tcPr>
          <w:p>
            <w:r>
              <w:rPr>
                <w:rFonts w:ascii="Calibri" w:cs="Calibri" w:eastAsia="Calibri" w:hAnsi="Calibri"/>
                <w:sz w:val="19"/>
                <w:szCs w:val="19"/>
              </w:rPr>
              <w:t xml:space="preserve">[−0.35, +0.03]</w:t>
            </w:r>
          </w:p>
        </w:tc>
        <w:tc>
          <w:tcPr>
            <w:tcW w:type="dxa" w:w="2000"/>
            <w:tcMar>
              <w:top w:type="dxa" w:w="60"/>
              <w:left w:type="dxa" w:w="100"/>
              <w:bottom w:type="dxa" w:w="60"/>
              <w:right w:type="dxa" w:w="100"/>
            </w:tcMar>
          </w:tcPr>
          <w:p>
            <w:r>
              <w:rPr>
                <w:rFonts w:ascii="Calibri" w:cs="Calibri" w:eastAsia="Calibri" w:hAnsi="Calibri"/>
                <w:sz w:val="19"/>
                <w:szCs w:val="19"/>
              </w:rPr>
              <w:t xml:space="preserve">0.104</w:t>
            </w:r>
          </w:p>
        </w:tc>
      </w:tr>
      <w:tr>
        <w:tc>
          <w:tcPr>
            <w:tcW w:type="dxa" w:w="2100"/>
            <w:tcMar>
              <w:top w:type="dxa" w:w="60"/>
              <w:left w:type="dxa" w:w="100"/>
              <w:bottom w:type="dxa" w:w="60"/>
              <w:right w:type="dxa" w:w="100"/>
            </w:tcMar>
          </w:tcPr>
          <w:p>
            <w:r>
              <w:rPr>
                <w:rFonts w:ascii="Calibri" w:cs="Calibri" w:eastAsia="Calibri" w:hAnsi="Calibri"/>
                <w:sz w:val="19"/>
                <w:szCs w:val="19"/>
              </w:rPr>
              <w:t xml:space="preserve">Perú</w:t>
            </w:r>
          </w:p>
        </w:tc>
        <w:tc>
          <w:tcPr>
            <w:tcW w:type="dxa" w:w="1300"/>
            <w:tcMar>
              <w:top w:type="dxa" w:w="60"/>
              <w:left w:type="dxa" w:w="100"/>
              <w:bottom w:type="dxa" w:w="60"/>
              <w:right w:type="dxa" w:w="100"/>
            </w:tcMar>
          </w:tcPr>
          <w:p>
            <w:r>
              <w:rPr>
                <w:rFonts w:ascii="Calibri" w:cs="Calibri" w:eastAsia="Calibri" w:hAnsi="Calibri"/>
                <w:sz w:val="19"/>
                <w:szCs w:val="19"/>
              </w:rPr>
              <w:t xml:space="preserve">6.807</w:t>
            </w:r>
          </w:p>
        </w:tc>
        <w:tc>
          <w:tcPr>
            <w:tcW w:type="dxa" w:w="1400"/>
            <w:tcMar>
              <w:top w:type="dxa" w:w="60"/>
              <w:left w:type="dxa" w:w="100"/>
              <w:bottom w:type="dxa" w:w="60"/>
              <w:right w:type="dxa" w:w="100"/>
            </w:tcMar>
          </w:tcPr>
          <w:p>
            <w:r>
              <w:rPr>
                <w:rFonts w:ascii="Calibri" w:cs="Calibri" w:eastAsia="Calibri" w:hAnsi="Calibri"/>
                <w:sz w:val="19"/>
                <w:szCs w:val="19"/>
              </w:rPr>
              <w:t xml:space="preserve">−0.09</w:t>
            </w:r>
          </w:p>
        </w:tc>
        <w:tc>
          <w:tcPr>
            <w:tcW w:type="dxa" w:w="2560"/>
            <w:tcMar>
              <w:top w:type="dxa" w:w="60"/>
              <w:left w:type="dxa" w:w="100"/>
              <w:bottom w:type="dxa" w:w="60"/>
              <w:right w:type="dxa" w:w="100"/>
            </w:tcMar>
          </w:tcPr>
          <w:p>
            <w:r>
              <w:rPr>
                <w:rFonts w:ascii="Calibri" w:cs="Calibri" w:eastAsia="Calibri" w:hAnsi="Calibri"/>
                <w:sz w:val="19"/>
                <w:szCs w:val="19"/>
              </w:rPr>
              <w:t xml:space="preserve">[−0.27, +0.09]</w:t>
            </w:r>
          </w:p>
        </w:tc>
        <w:tc>
          <w:tcPr>
            <w:tcW w:type="dxa" w:w="2000"/>
            <w:tcMar>
              <w:top w:type="dxa" w:w="60"/>
              <w:left w:type="dxa" w:w="100"/>
              <w:bottom w:type="dxa" w:w="60"/>
              <w:right w:type="dxa" w:w="100"/>
            </w:tcMar>
          </w:tcPr>
          <w:p>
            <w:r>
              <w:rPr>
                <w:rFonts w:ascii="Calibri" w:cs="Calibri" w:eastAsia="Calibri" w:hAnsi="Calibri"/>
                <w:sz w:val="19"/>
                <w:szCs w:val="19"/>
              </w:rPr>
              <w:t xml:space="preserve">0.313</w:t>
            </w:r>
          </w:p>
        </w:tc>
      </w:tr>
      <w:tr>
        <w:tc>
          <w:tcPr>
            <w:tcW w:type="dxa" w:w="2100"/>
            <w:tcMar>
              <w:top w:type="dxa" w:w="60"/>
              <w:left w:type="dxa" w:w="100"/>
              <w:bottom w:type="dxa" w:w="60"/>
              <w:right w:type="dxa" w:w="100"/>
            </w:tcMar>
          </w:tcPr>
          <w:p>
            <w:r>
              <w:rPr>
                <w:rFonts w:ascii="Calibri" w:cs="Calibri" w:eastAsia="Calibri" w:hAnsi="Calibri"/>
                <w:sz w:val="19"/>
                <w:szCs w:val="19"/>
              </w:rPr>
              <w:t xml:space="preserve">Colombia</w:t>
            </w:r>
          </w:p>
        </w:tc>
        <w:tc>
          <w:tcPr>
            <w:tcW w:type="dxa" w:w="1300"/>
            <w:tcMar>
              <w:top w:type="dxa" w:w="60"/>
              <w:left w:type="dxa" w:w="100"/>
              <w:bottom w:type="dxa" w:w="60"/>
              <w:right w:type="dxa" w:w="100"/>
            </w:tcMar>
          </w:tcPr>
          <w:p>
            <w:r>
              <w:rPr>
                <w:rFonts w:ascii="Calibri" w:cs="Calibri" w:eastAsia="Calibri" w:hAnsi="Calibri"/>
                <w:sz w:val="19"/>
                <w:szCs w:val="19"/>
              </w:rPr>
              <w:t xml:space="preserve">5.893</w:t>
            </w:r>
          </w:p>
        </w:tc>
        <w:tc>
          <w:tcPr>
            <w:tcW w:type="dxa" w:w="1400"/>
            <w:tcMar>
              <w:top w:type="dxa" w:w="60"/>
              <w:left w:type="dxa" w:w="100"/>
              <w:bottom w:type="dxa" w:w="60"/>
              <w:right w:type="dxa" w:w="100"/>
            </w:tcMar>
          </w:tcPr>
          <w:p>
            <w:r>
              <w:rPr>
                <w:rFonts w:ascii="Calibri" w:cs="Calibri" w:eastAsia="Calibri" w:hAnsi="Calibri"/>
                <w:sz w:val="19"/>
                <w:szCs w:val="19"/>
              </w:rPr>
              <w:t xml:space="preserve">−0.01</w:t>
            </w:r>
          </w:p>
        </w:tc>
        <w:tc>
          <w:tcPr>
            <w:tcW w:type="dxa" w:w="2560"/>
            <w:tcMar>
              <w:top w:type="dxa" w:w="60"/>
              <w:left w:type="dxa" w:w="100"/>
              <w:bottom w:type="dxa" w:w="60"/>
              <w:right w:type="dxa" w:w="100"/>
            </w:tcMar>
          </w:tcPr>
          <w:p>
            <w:r>
              <w:rPr>
                <w:rFonts w:ascii="Calibri" w:cs="Calibri" w:eastAsia="Calibri" w:hAnsi="Calibri"/>
                <w:sz w:val="19"/>
                <w:szCs w:val="19"/>
              </w:rPr>
              <w:t xml:space="preserve">[−0.16, +0.14]</w:t>
            </w:r>
          </w:p>
        </w:tc>
        <w:tc>
          <w:tcPr>
            <w:tcW w:type="dxa" w:w="2000"/>
            <w:tcMar>
              <w:top w:type="dxa" w:w="60"/>
              <w:left w:type="dxa" w:w="100"/>
              <w:bottom w:type="dxa" w:w="60"/>
              <w:right w:type="dxa" w:w="100"/>
            </w:tcMar>
          </w:tcPr>
          <w:p>
            <w:r>
              <w:rPr>
                <w:rFonts w:ascii="Calibri" w:cs="Calibri" w:eastAsia="Calibri" w:hAnsi="Calibri"/>
                <w:sz w:val="19"/>
                <w:szCs w:val="19"/>
              </w:rPr>
              <w:t xml:space="preserve">0.903</w:t>
            </w:r>
          </w:p>
        </w:tc>
      </w:tr>
      <w:tr>
        <w:tc>
          <w:tcPr>
            <w:tcW w:type="dxa" w:w="2100"/>
            <w:tcMar>
              <w:top w:type="dxa" w:w="60"/>
              <w:left w:type="dxa" w:w="100"/>
              <w:bottom w:type="dxa" w:w="60"/>
              <w:right w:type="dxa" w:w="100"/>
            </w:tcMar>
          </w:tcPr>
          <w:p>
            <w:r>
              <w:rPr>
                <w:rFonts w:ascii="Calibri" w:cs="Calibri" w:eastAsia="Calibri" w:hAnsi="Calibri"/>
                <w:sz w:val="19"/>
                <w:szCs w:val="19"/>
              </w:rPr>
              <w:t xml:space="preserve">Venezuela</w:t>
            </w:r>
          </w:p>
        </w:tc>
        <w:tc>
          <w:tcPr>
            <w:tcW w:type="dxa" w:w="1300"/>
            <w:tcMar>
              <w:top w:type="dxa" w:w="60"/>
              <w:left w:type="dxa" w:w="100"/>
              <w:bottom w:type="dxa" w:w="60"/>
              <w:right w:type="dxa" w:w="100"/>
            </w:tcMar>
          </w:tcPr>
          <w:p>
            <w:r>
              <w:rPr>
                <w:rFonts w:ascii="Calibri" w:cs="Calibri" w:eastAsia="Calibri" w:hAnsi="Calibri"/>
                <w:sz w:val="19"/>
                <w:szCs w:val="19"/>
              </w:rPr>
              <w:t xml:space="preserve">5.002</w:t>
            </w:r>
          </w:p>
        </w:tc>
        <w:tc>
          <w:tcPr>
            <w:tcW w:type="dxa" w:w="1400"/>
            <w:tcMar>
              <w:top w:type="dxa" w:w="60"/>
              <w:left w:type="dxa" w:w="100"/>
              <w:bottom w:type="dxa" w:w="60"/>
              <w:right w:type="dxa" w:w="100"/>
            </w:tcMar>
          </w:tcPr>
          <w:p>
            <w:r>
              <w:rPr>
                <w:rFonts w:ascii="Calibri" w:cs="Calibri" w:eastAsia="Calibri" w:hAnsi="Calibri"/>
                <w:sz w:val="19"/>
                <w:szCs w:val="19"/>
              </w:rPr>
              <w:t xml:space="preserve">−0.00</w:t>
            </w:r>
          </w:p>
        </w:tc>
        <w:tc>
          <w:tcPr>
            <w:tcW w:type="dxa" w:w="2560"/>
            <w:tcMar>
              <w:top w:type="dxa" w:w="60"/>
              <w:left w:type="dxa" w:w="100"/>
              <w:bottom w:type="dxa" w:w="60"/>
              <w:right w:type="dxa" w:w="100"/>
            </w:tcMar>
          </w:tcPr>
          <w:p>
            <w:r>
              <w:rPr>
                <w:rFonts w:ascii="Calibri" w:cs="Calibri" w:eastAsia="Calibri" w:hAnsi="Calibri"/>
                <w:sz w:val="19"/>
                <w:szCs w:val="19"/>
              </w:rPr>
              <w:t xml:space="preserve">[−0.15, +0.15]</w:t>
            </w:r>
          </w:p>
        </w:tc>
        <w:tc>
          <w:tcPr>
            <w:tcW w:type="dxa" w:w="2000"/>
            <w:tcMar>
              <w:top w:type="dxa" w:w="60"/>
              <w:left w:type="dxa" w:w="100"/>
              <w:bottom w:type="dxa" w:w="60"/>
              <w:right w:type="dxa" w:w="100"/>
            </w:tcMar>
          </w:tcPr>
          <w:p>
            <w:r>
              <w:rPr>
                <w:rFonts w:ascii="Calibri" w:cs="Calibri" w:eastAsia="Calibri" w:hAnsi="Calibri"/>
                <w:sz w:val="19"/>
                <w:szCs w:val="19"/>
              </w:rPr>
              <w:t xml:space="preserve">0.995</w:t>
            </w:r>
          </w:p>
        </w:tc>
      </w:tr>
      <w:tr>
        <w:tc>
          <w:tcPr>
            <w:tcW w:type="dxa" w:w="2100"/>
            <w:tcMar>
              <w:top w:type="dxa" w:w="60"/>
              <w:left w:type="dxa" w:w="100"/>
              <w:bottom w:type="dxa" w:w="60"/>
              <w:right w:type="dxa" w:w="100"/>
            </w:tcMar>
          </w:tcPr>
          <w:p>
            <w:r>
              <w:rPr>
                <w:rFonts w:ascii="Calibri" w:cs="Calibri" w:eastAsia="Calibri" w:hAnsi="Calibri"/>
                <w:sz w:val="19"/>
                <w:szCs w:val="19"/>
              </w:rPr>
              <w:t xml:space="preserve">Paraguay</w:t>
            </w:r>
          </w:p>
        </w:tc>
        <w:tc>
          <w:tcPr>
            <w:tcW w:type="dxa" w:w="1300"/>
            <w:tcMar>
              <w:top w:type="dxa" w:w="60"/>
              <w:left w:type="dxa" w:w="100"/>
              <w:bottom w:type="dxa" w:w="60"/>
              <w:right w:type="dxa" w:w="100"/>
            </w:tcMar>
          </w:tcPr>
          <w:p>
            <w:r>
              <w:rPr>
                <w:rFonts w:ascii="Calibri" w:cs="Calibri" w:eastAsia="Calibri" w:hAnsi="Calibri"/>
                <w:sz w:val="19"/>
                <w:szCs w:val="19"/>
              </w:rPr>
              <w:t xml:space="preserve">5.858</w:t>
            </w:r>
          </w:p>
        </w:tc>
        <w:tc>
          <w:tcPr>
            <w:tcW w:type="dxa" w:w="1400"/>
            <w:tcMar>
              <w:top w:type="dxa" w:w="60"/>
              <w:left w:type="dxa" w:w="100"/>
              <w:bottom w:type="dxa" w:w="60"/>
              <w:right w:type="dxa" w:w="100"/>
            </w:tcMar>
          </w:tcPr>
          <w:p>
            <w:r>
              <w:rPr>
                <w:rFonts w:ascii="Calibri" w:cs="Calibri" w:eastAsia="Calibri" w:hAnsi="Calibri"/>
                <w:sz w:val="19"/>
                <w:szCs w:val="19"/>
              </w:rPr>
              <w:t xml:space="preserve">+0.02</w:t>
            </w:r>
          </w:p>
        </w:tc>
        <w:tc>
          <w:tcPr>
            <w:tcW w:type="dxa" w:w="2560"/>
            <w:tcMar>
              <w:top w:type="dxa" w:w="60"/>
              <w:left w:type="dxa" w:w="100"/>
              <w:bottom w:type="dxa" w:w="60"/>
              <w:right w:type="dxa" w:w="100"/>
            </w:tcMar>
          </w:tcPr>
          <w:p>
            <w:r>
              <w:rPr>
                <w:rFonts w:ascii="Calibri" w:cs="Calibri" w:eastAsia="Calibri" w:hAnsi="Calibri"/>
                <w:sz w:val="19"/>
                <w:szCs w:val="19"/>
              </w:rPr>
              <w:t xml:space="preserve">[−0.12, +0.17]</w:t>
            </w:r>
          </w:p>
        </w:tc>
        <w:tc>
          <w:tcPr>
            <w:tcW w:type="dxa" w:w="2000"/>
            <w:tcMar>
              <w:top w:type="dxa" w:w="60"/>
              <w:left w:type="dxa" w:w="100"/>
              <w:bottom w:type="dxa" w:w="60"/>
              <w:right w:type="dxa" w:w="100"/>
            </w:tcMar>
          </w:tcPr>
          <w:p>
            <w:r>
              <w:rPr>
                <w:rFonts w:ascii="Calibri" w:cs="Calibri" w:eastAsia="Calibri" w:hAnsi="Calibri"/>
                <w:sz w:val="19"/>
                <w:szCs w:val="19"/>
              </w:rPr>
              <w:t xml:space="preserve">0.736</w:t>
            </w:r>
          </w:p>
        </w:tc>
      </w:tr>
      <w:tr>
        <w:tc>
          <w:tcPr>
            <w:tcW w:type="dxa" w:w="2100"/>
            <w:tcMar>
              <w:top w:type="dxa" w:w="60"/>
              <w:left w:type="dxa" w:w="100"/>
              <w:bottom w:type="dxa" w:w="60"/>
              <w:right w:type="dxa" w:w="100"/>
            </w:tcMar>
          </w:tcPr>
          <w:p>
            <w:r>
              <w:rPr>
                <w:rFonts w:ascii="Calibri" w:cs="Calibri" w:eastAsia="Calibri" w:hAnsi="Calibri"/>
                <w:sz w:val="19"/>
                <w:szCs w:val="19"/>
              </w:rPr>
              <w:t xml:space="preserve">Brasil</w:t>
            </w:r>
          </w:p>
        </w:tc>
        <w:tc>
          <w:tcPr>
            <w:tcW w:type="dxa" w:w="1300"/>
            <w:tcMar>
              <w:top w:type="dxa" w:w="60"/>
              <w:left w:type="dxa" w:w="100"/>
              <w:bottom w:type="dxa" w:w="60"/>
              <w:right w:type="dxa" w:w="100"/>
            </w:tcMar>
          </w:tcPr>
          <w:p>
            <w:r>
              <w:rPr>
                <w:rFonts w:ascii="Calibri" w:cs="Calibri" w:eastAsia="Calibri" w:hAnsi="Calibri"/>
                <w:sz w:val="19"/>
                <w:szCs w:val="19"/>
              </w:rPr>
              <w:t xml:space="preserve">6.521</w:t>
            </w:r>
          </w:p>
        </w:tc>
        <w:tc>
          <w:tcPr>
            <w:tcW w:type="dxa" w:w="1400"/>
            <w:tcMar>
              <w:top w:type="dxa" w:w="60"/>
              <w:left w:type="dxa" w:w="100"/>
              <w:bottom w:type="dxa" w:w="60"/>
              <w:right w:type="dxa" w:w="100"/>
            </w:tcMar>
          </w:tcPr>
          <w:p>
            <w:r>
              <w:rPr>
                <w:rFonts w:ascii="Calibri" w:cs="Calibri" w:eastAsia="Calibri" w:hAnsi="Calibri"/>
                <w:sz w:val="19"/>
                <w:szCs w:val="19"/>
              </w:rPr>
              <w:t xml:space="preserve">+0.06</w:t>
            </w:r>
          </w:p>
        </w:tc>
        <w:tc>
          <w:tcPr>
            <w:tcW w:type="dxa" w:w="2560"/>
            <w:tcMar>
              <w:top w:type="dxa" w:w="60"/>
              <w:left w:type="dxa" w:w="100"/>
              <w:bottom w:type="dxa" w:w="60"/>
              <w:right w:type="dxa" w:w="100"/>
            </w:tcMar>
          </w:tcPr>
          <w:p>
            <w:r>
              <w:rPr>
                <w:rFonts w:ascii="Calibri" w:cs="Calibri" w:eastAsia="Calibri" w:hAnsi="Calibri"/>
                <w:sz w:val="19"/>
                <w:szCs w:val="19"/>
              </w:rPr>
              <w:t xml:space="preserve">[−0.06, +0.18]</w:t>
            </w:r>
          </w:p>
        </w:tc>
        <w:tc>
          <w:tcPr>
            <w:tcW w:type="dxa" w:w="2000"/>
            <w:tcMar>
              <w:top w:type="dxa" w:w="60"/>
              <w:left w:type="dxa" w:w="100"/>
              <w:bottom w:type="dxa" w:w="60"/>
              <w:right w:type="dxa" w:w="100"/>
            </w:tcMar>
          </w:tcPr>
          <w:p>
            <w:r>
              <w:rPr>
                <w:rFonts w:ascii="Calibri" w:cs="Calibri" w:eastAsia="Calibri" w:hAnsi="Calibri"/>
                <w:sz w:val="19"/>
                <w:szCs w:val="19"/>
              </w:rPr>
              <w:t xml:space="preserve">0.295</w:t>
            </w:r>
          </w:p>
        </w:tc>
      </w:tr>
      <w:tr>
        <w:tc>
          <w:tcPr>
            <w:tcW w:type="dxa" w:w="2100"/>
            <w:tcMar>
              <w:top w:type="dxa" w:w="60"/>
              <w:left w:type="dxa" w:w="100"/>
              <w:bottom w:type="dxa" w:w="60"/>
              <w:right w:type="dxa" w:w="100"/>
            </w:tcMar>
          </w:tcPr>
          <w:p>
            <w:r>
              <w:rPr>
                <w:rFonts w:ascii="Calibri" w:cs="Calibri" w:eastAsia="Calibri" w:hAnsi="Calibri"/>
                <w:sz w:val="19"/>
                <w:szCs w:val="19"/>
              </w:rPr>
              <w:t xml:space="preserve">Chile</w:t>
            </w:r>
          </w:p>
        </w:tc>
        <w:tc>
          <w:tcPr>
            <w:tcW w:type="dxa" w:w="1300"/>
            <w:tcMar>
              <w:top w:type="dxa" w:w="60"/>
              <w:left w:type="dxa" w:w="100"/>
              <w:bottom w:type="dxa" w:w="60"/>
              <w:right w:type="dxa" w:w="100"/>
            </w:tcMar>
          </w:tcPr>
          <w:p>
            <w:r>
              <w:rPr>
                <w:rFonts w:ascii="Calibri" w:cs="Calibri" w:eastAsia="Calibri" w:hAnsi="Calibri"/>
                <w:sz w:val="19"/>
                <w:szCs w:val="19"/>
              </w:rPr>
              <w:t xml:space="preserve">7.157</w:t>
            </w:r>
          </w:p>
        </w:tc>
        <w:tc>
          <w:tcPr>
            <w:tcW w:type="dxa" w:w="1400"/>
            <w:tcMar>
              <w:top w:type="dxa" w:w="60"/>
              <w:left w:type="dxa" w:w="100"/>
              <w:bottom w:type="dxa" w:w="60"/>
              <w:right w:type="dxa" w:w="100"/>
            </w:tcMar>
          </w:tcPr>
          <w:p>
            <w:r>
              <w:rPr>
                <w:rFonts w:ascii="Calibri" w:cs="Calibri" w:eastAsia="Calibri" w:hAnsi="Calibri"/>
                <w:sz w:val="19"/>
                <w:szCs w:val="19"/>
              </w:rPr>
              <w:t xml:space="preserve">+0.09</w:t>
            </w:r>
          </w:p>
        </w:tc>
        <w:tc>
          <w:tcPr>
            <w:tcW w:type="dxa" w:w="2560"/>
            <w:tcMar>
              <w:top w:type="dxa" w:w="60"/>
              <w:left w:type="dxa" w:w="100"/>
              <w:bottom w:type="dxa" w:w="60"/>
              <w:right w:type="dxa" w:w="100"/>
            </w:tcMar>
          </w:tcPr>
          <w:p>
            <w:r>
              <w:rPr>
                <w:rFonts w:ascii="Calibri" w:cs="Calibri" w:eastAsia="Calibri" w:hAnsi="Calibri"/>
                <w:sz w:val="19"/>
                <w:szCs w:val="19"/>
              </w:rPr>
              <w:t xml:space="preserve">[−0.07, +0.26]</w:t>
            </w:r>
          </w:p>
        </w:tc>
        <w:tc>
          <w:tcPr>
            <w:tcW w:type="dxa" w:w="2000"/>
            <w:tcMar>
              <w:top w:type="dxa" w:w="60"/>
              <w:left w:type="dxa" w:w="100"/>
              <w:bottom w:type="dxa" w:w="60"/>
              <w:right w:type="dxa" w:w="100"/>
            </w:tcMar>
          </w:tcPr>
          <w:p>
            <w:r>
              <w:rPr>
                <w:rFonts w:ascii="Calibri" w:cs="Calibri" w:eastAsia="Calibri" w:hAnsi="Calibri"/>
                <w:sz w:val="19"/>
                <w:szCs w:val="19"/>
              </w:rPr>
              <w:t xml:space="preserve">0.274</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Guyana</w:t>
            </w:r>
          </w:p>
        </w:tc>
        <w:tc>
          <w:tcPr>
            <w:tcW w:type="dxa" w:w="1300"/>
            <w:tcMar>
              <w:top w:type="dxa" w:w="60"/>
              <w:left w:type="dxa" w:w="100"/>
              <w:bottom w:type="dxa" w:w="60"/>
              <w:right w:type="dxa" w:w="100"/>
            </w:tcMar>
          </w:tcPr>
          <w:p>
            <w:r>
              <w:rPr>
                <w:rFonts w:ascii="Calibri" w:cs="Calibri" w:eastAsia="Calibri" w:hAnsi="Calibri"/>
                <w:sz w:val="19"/>
                <w:szCs w:val="19"/>
              </w:rPr>
              <w:t xml:space="preserve">4.770</w:t>
            </w:r>
          </w:p>
        </w:tc>
        <w:tc>
          <w:tcPr>
            <w:tcW w:type="dxa" w:w="1400"/>
            <w:tcMar>
              <w:top w:type="dxa" w:w="60"/>
              <w:left w:type="dxa" w:w="100"/>
              <w:bottom w:type="dxa" w:w="60"/>
              <w:right w:type="dxa" w:w="100"/>
            </w:tcMar>
          </w:tcPr>
          <w:p>
            <w:r>
              <w:rPr>
                <w:rFonts w:ascii="Calibri" w:cs="Calibri" w:eastAsia="Calibri" w:hAnsi="Calibri"/>
                <w:sz w:val="19"/>
                <w:szCs w:val="19"/>
              </w:rPr>
              <w:t xml:space="preserve">+0.15</w:t>
            </w:r>
          </w:p>
        </w:tc>
        <w:tc>
          <w:tcPr>
            <w:tcW w:type="dxa" w:w="2560"/>
            <w:tcMar>
              <w:top w:type="dxa" w:w="60"/>
              <w:left w:type="dxa" w:w="100"/>
              <w:bottom w:type="dxa" w:w="60"/>
              <w:right w:type="dxa" w:w="100"/>
            </w:tcMar>
          </w:tcPr>
          <w:p>
            <w:r>
              <w:rPr>
                <w:rFonts w:ascii="Calibri" w:cs="Calibri" w:eastAsia="Calibri" w:hAnsi="Calibri"/>
                <w:sz w:val="19"/>
                <w:szCs w:val="19"/>
              </w:rPr>
              <w:t xml:space="preserve">[−0.00, +0.30]</w:t>
            </w:r>
          </w:p>
        </w:tc>
        <w:tc>
          <w:tcPr>
            <w:tcW w:type="dxa" w:w="2000"/>
            <w:tcMar>
              <w:top w:type="dxa" w:w="60"/>
              <w:left w:type="dxa" w:w="100"/>
              <w:bottom w:type="dxa" w:w="60"/>
              <w:right w:type="dxa" w:w="100"/>
            </w:tcMar>
          </w:tcPr>
          <w:p>
            <w:r>
              <w:rPr>
                <w:rFonts w:ascii="Calibri" w:cs="Calibri" w:eastAsia="Calibri" w:hAnsi="Calibri"/>
                <w:sz w:val="19"/>
                <w:szCs w:val="19"/>
              </w:rPr>
              <w:t xml:space="preserve">0.052</w:t>
            </w:r>
          </w:p>
        </w:tc>
      </w:tr>
    </w:tbl>
    <w:p>
      <w:pPr>
        <w:spacing w:after="120"/>
      </w:pPr>
      <w:r>
        <w:rPr>
          <w:rFonts w:ascii="Calibri" w:cs="Calibri" w:eastAsia="Calibri" w:hAnsi="Calibri"/>
          <w:sz w:val="22"/>
          <w:szCs w:val="22"/>
        </w:rPr>
        <w:t xml:space="preserve">Pooled con interacciones (base ARG): la penalidad argentina difiere significativamente de Uruguay (−0.31 por punto, p&lt;0.001), Bolivia (−0.27, p=0.002) y Surinam (−0.22, p=0.005) por un lado, y de Chile (+0.15, p=0.038), Guyana (+0.17, p=0.022) y Paraguay (+0.14, p=0.047) por el otro. Argentina está en el medio de la distribución regional.</w:t>
      </w:r>
    </w:p>
    <w:p>
      <w:pPr>
        <w:pStyle w:val="Heading2"/>
        <w:spacing w:after="110" w:before="220"/>
      </w:pPr>
      <w:r>
        <w:rPr>
          <w:rFonts w:ascii="Calibri" w:cs="Calibri" w:eastAsia="Calibri" w:hAnsi="Calibri"/>
        </w:rPr>
        <w:t xml:space="preserve">7.2 Horse race color vs. categoría, por país</w:t>
      </w:r>
    </w:p>
    <w:p>
      <w:pPr>
        <w:spacing w:after="120"/>
      </w:pPr>
      <w:r>
        <w:rPr>
          <w:rFonts w:ascii="Calibri" w:cs="Calibri" w:eastAsia="Calibri" w:hAnsi="Calibri"/>
          <w:sz w:val="22"/>
          <w:szCs w:val="22"/>
        </w:rPr>
        <w:t xml:space="preserve">El patrón argentino ("la categoría le gana al color") no es peculiaridad nuestra: el premio por autoidentificarse blanco condicional en el tono observado es grande y significativo en Bolivia (+1.37 años), Uruguay (+1.17), Brasil (+0.89), Argentina (+0.79) y Venezuela (+0.69). Pero en Bolivia, Uruguay, Ecuador y Surinam el color también sobrevive con la categoría en la ecuación — en Argentina no. El caso argentino se distingue por ser casi puramente categorial.</w:t>
      </w:r>
    </w:p>
    <w:p>
      <w:pPr>
        <w:pStyle w:val="Heading2"/>
        <w:spacing w:after="110" w:before="220"/>
      </w:pPr>
      <w:r>
        <w:rPr>
          <w:rFonts w:ascii="Calibri" w:cs="Calibri" w:eastAsia="Calibri" w:hAnsi="Calibri"/>
        </w:rPr>
        <w:t xml:space="preserve">7.3 Mecanismo: auto-aclaramiento por país</w:t>
      </w:r>
    </w:p>
    <w:p>
      <w:pPr>
        <w:spacing w:after="120"/>
      </w:pPr>
      <w:r>
        <w:rPr>
          <w:rFonts w:ascii="Calibri" w:cs="Calibri" w:eastAsia="Calibri" w:hAnsi="Calibri"/>
          <w:sz w:val="22"/>
          <w:szCs w:val="22"/>
        </w:rPr>
        <w:t xml:space="preserve">Diferencia del gap (auto − encuestador) entre tercil educativo alto y bajo: Brasil −0.81, Bolivia −0.73, Paraguay −0.60, Venezuela −0.52, Argentina −0.47, …, Uruguay −0.09, Guyana +0.00. La hipótesis previa (Argentina como caso extremo de auto-aclaramiento) no se sostiene: Brasil y Bolivia muestran más. Patrón sugerente: Uruguay, el país con mayor penalidad de color, es donde menos se "auto-aclara" la gente — donde el gradiente es más real, menos se negocia la autopercepción. A formalizar.</w:t>
      </w:r>
    </w:p>
    <w:p>
      <w:pPr>
        <w:pStyle w:val="Heading2"/>
        <w:spacing w:after="110" w:before="220"/>
      </w:pPr>
      <w:r>
        <w:rPr>
          <w:rFonts w:ascii="Calibri" w:cs="Calibri" w:eastAsia="Calibri" w:hAnsi="Calibri"/>
        </w:rPr>
        <w:t xml:space="preserve">7.4 Discrepancia con PERLA — abierta</w:t>
      </w:r>
    </w:p>
    <w:p>
      <w:pPr>
        <w:spacing w:after="120"/>
      </w:pPr>
      <w:r>
        <w:rPr>
          <w:rFonts w:ascii="Calibri" w:cs="Calibri" w:eastAsia="Calibri" w:hAnsi="Calibri"/>
          <w:sz w:val="22"/>
          <w:szCs w:val="22"/>
        </w:rPr>
        <w:t xml:space="preserve">Nuestros nulos de Brasil (+0.06) y Colombia (−0.01) contrastan con los −0.5 y −0.39 de Telles et al. (2015). La sensibilidad muestra que no lo explican ni los FE de región ni el pooling de olas (Brasil da ~0 también sin FE de región y en 2010 solo). Diferencias restantes con su diseño: la ronda PERLA 2010 con controles de origen de clase (ocupación parental) y su armonización de escolaridad. Pendiente: conseguir sus archivos de replicación. Hasta resolverlo, la comparación con "el rango PERLA" debe citarse con esta nota.</w:t>
      </w:r>
    </w:p>
    <w:p>
      <w:pPr>
        <w:pStyle w:val="Heading2"/>
        <w:spacing w:after="110" w:before="220"/>
      </w:pPr>
      <w:r>
        <w:rPr>
          <w:rFonts w:ascii="Calibri" w:cs="Calibri" w:eastAsia="Calibri" w:hAnsi="Calibri"/>
        </w:rPr>
        <w:t xml:space="preserve">7.5 Lectura</w:t>
      </w:r>
    </w:p>
    <w:p>
      <w:pPr>
        <w:spacing w:after="120"/>
      </w:pPr>
      <w:r>
        <w:rPr>
          <w:rFonts w:ascii="Calibri" w:cs="Calibri" w:eastAsia="Calibri" w:hAnsi="Calibri"/>
          <w:sz w:val="22"/>
          <w:szCs w:val="22"/>
        </w:rPr>
        <w:t xml:space="preserve">La penalidad de color argentina (−0.16, ns) es mediana en la región, no excepcional. Lo distintivo de Argentina es la forma del racismo: puramente categorial (blanco/no blanco) y con la señal cromática debilitada — consistente con el argumento histórico del crisol. Y el hallazgo regional inesperado es Uruguay: la mayor penalidad de color de Sudamérica en el país más "blanco" de la muestra, con poco auto-aclaramiento. Eso merece paper propio.</w:t>
      </w:r>
    </w:p>
    <w:p>
      <w:pPr>
        <w:pStyle w:val="Heading1"/>
        <w:spacing w:after="140" w:before="280"/>
      </w:pPr>
      <w:r>
        <w:rPr>
          <w:rFonts w:ascii="Calibri" w:cs="Calibri" w:eastAsia="Calibri" w:hAnsi="Calibri"/>
        </w:rPr>
        <w:t xml:space="preserve">8. Caveats adicionales (v0.2)</w:t>
      </w:r>
    </w:p>
    <w:p>
      <w:pPr>
        <w:spacing w:after="120"/>
      </w:pPr>
      <w:r>
        <w:rPr>
          <w:rFonts w:ascii="Calibri" w:cs="Calibri" w:eastAsia="Calibri" w:hAnsi="Calibri"/>
          <w:sz w:val="22"/>
          <w:szCs w:val="22"/>
        </w:rPr>
        <w:t xml:space="preserve">Guyana y Surinam tienen composiciones étnicas (indo-descendientes, cimarrones) donde la escala clara→oscura captura otra cosa que en el resto; sus coeficientes no son directamente comparables. El premio blanco de Guyana (+5.68) sale de un N minúsculo de autoidentificados blancos. Venezuela 2016 en contexto de crisis. estratopri cambia de definición entre olas en algunos países (FE conservador igual).</w:t>
      </w:r>
    </w:p>
    <w:p>
      <w:pPr>
        <w:pStyle w:val="Heading1"/>
        <w:spacing w:after="140" w:before="280"/>
      </w:pPr>
      <w:r>
        <w:rPr>
          <w:rFonts w:ascii="Calibri" w:cs="Calibri" w:eastAsia="Calibri" w:hAnsi="Calibri"/>
        </w:rPr>
        <w:t xml:space="preserve">9. Agenda</w:t>
      </w:r>
    </w:p>
    <w:p>
      <w:pPr>
        <w:pStyle w:val="ListParagraph"/>
        <w:numPr>
          <w:ilvl w:val="0"/>
          <w:numId w:val="2"/>
        </w:numPr>
        <w:spacing w:after="100"/>
      </w:pPr>
      <w:r>
        <w:rPr>
          <w:rFonts w:ascii="Calibri" w:cs="Calibri" w:eastAsia="Calibri" w:hAnsi="Calibri"/>
          <w:sz w:val="22"/>
          <w:szCs w:val="22"/>
        </w:rPr>
        <w:t xml:space="preserve">Pooled sudamericano: HECHO (v0.2).</w:t>
      </w:r>
    </w:p>
    <w:p>
      <w:pPr>
        <w:pStyle w:val="ListParagraph"/>
        <w:numPr>
          <w:ilvl w:val="0"/>
          <w:numId w:val="2"/>
        </w:numPr>
        <w:spacing w:after="100"/>
      </w:pPr>
      <w:r>
        <w:rPr>
          <w:rFonts w:ascii="Calibri" w:cs="Calibri" w:eastAsia="Calibri" w:hAnsi="Calibri"/>
          <w:sz w:val="22"/>
          <w:szCs w:val="22"/>
        </w:rPr>
        <w:t xml:space="preserve">Conseguir archivos de replicación de Telles et al. (2015) para resolver la discrepancia de Brasil/Colombia (§7.4).</w:t>
      </w:r>
    </w:p>
    <w:p>
      <w:pPr>
        <w:pStyle w:val="ListParagraph"/>
        <w:numPr>
          <w:ilvl w:val="0"/>
          <w:numId w:val="2"/>
        </w:numPr>
        <w:spacing w:after="100"/>
      </w:pPr>
      <w:r>
        <w:rPr>
          <w:rFonts w:ascii="Calibri" w:cs="Calibri" w:eastAsia="Calibri" w:hAnsi="Calibri"/>
          <w:sz w:val="22"/>
          <w:szCs w:val="22"/>
        </w:rPr>
        <w:t xml:space="preserve">FE de entrevistador si conseguimos el ID (archivos por ola).</w:t>
      </w:r>
    </w:p>
    <w:p>
      <w:pPr>
        <w:pStyle w:val="ListParagraph"/>
        <w:numPr>
          <w:ilvl w:val="0"/>
          <w:numId w:val="2"/>
        </w:numPr>
        <w:spacing w:after="100"/>
      </w:pPr>
      <w:r>
        <w:rPr>
          <w:rFonts w:ascii="Calibri" w:cs="Calibri" w:eastAsia="Calibri" w:hAnsi="Calibri"/>
          <w:sz w:val="22"/>
          <w:szCs w:val="22"/>
        </w:rPr>
        <w:t xml:space="preserve">Outcomes alternativos: secundario completo (dummy); acceso a terciario/universitario.</w:t>
      </w:r>
    </w:p>
    <w:p>
      <w:pPr>
        <w:pStyle w:val="ListParagraph"/>
        <w:numPr>
          <w:ilvl w:val="0"/>
          <w:numId w:val="2"/>
        </w:numPr>
        <w:spacing w:after="100"/>
      </w:pPr>
      <w:r>
        <w:rPr>
          <w:rFonts w:ascii="Calibri" w:cs="Calibri" w:eastAsia="Calibri" w:hAnsi="Calibri"/>
          <w:sz w:val="22"/>
          <w:szCs w:val="22"/>
        </w:rPr>
        <w:t xml:space="preserve">Formalizar el auto-aclaramiento (gap como outcome; correlación agregada penalidad × auto-aclaramiento, §7.3).</w:t>
      </w:r>
    </w:p>
    <w:p>
      <w:pPr>
        <w:pStyle w:val="ListParagraph"/>
        <w:numPr>
          <w:ilvl w:val="0"/>
          <w:numId w:val="2"/>
        </w:numPr>
        <w:spacing w:after="100"/>
      </w:pPr>
      <w:r>
        <w:rPr>
          <w:rFonts w:ascii="Calibri" w:cs="Calibri" w:eastAsia="Calibri" w:hAnsi="Calibri"/>
          <w:sz w:val="22"/>
          <w:szCs w:val="22"/>
        </w:rPr>
        <w:t xml:space="preserve">Profundizar Uruguay (¿por qué la mayor penalidad regional?) — posible extensión o paper aparte.</w:t>
      </w:r>
    </w:p>
    <w:p>
      <w:pPr>
        <w:pStyle w:val="Heading1"/>
        <w:spacing w:after="140" w:before="280"/>
      </w:pPr>
      <w:r>
        <w:rPr>
          <w:rFonts w:ascii="Calibri" w:cs="Calibri" w:eastAsia="Calibri" w:hAnsi="Calibri"/>
        </w:rPr>
        <w:t xml:space="preserve">Changelog</w:t>
      </w:r>
    </w:p>
    <w:p>
      <w:pPr>
        <w:pStyle w:val="ListParagraph"/>
        <w:numPr>
          <w:ilvl w:val="0"/>
          <w:numId w:val="2"/>
        </w:numPr>
        <w:spacing w:after="100"/>
      </w:pPr>
      <w:r>
        <w:rPr>
          <w:rFonts w:ascii="Calibri" w:cs="Calibri" w:eastAsia="Calibri" w:hAnsi="Calibri"/>
          <w:sz w:val="22"/>
          <w:szCs w:val="22"/>
        </w:rPr>
        <w:t xml:space="preserve">v0.2 (18-jul-2026). Comparativa sudamericana: 12 países, espejo de M1 por país, pooled con interacciones, horse race y auto-aclaramiento comparado. Python replicado en R. Discrepancia con PERLA documentada como abierta.</w:t>
      </w:r>
    </w:p>
    <w:p>
      <w:pPr>
        <w:pStyle w:val="ListParagraph"/>
        <w:numPr>
          <w:ilvl w:val="0"/>
          <w:numId w:val="2"/>
        </w:numPr>
        <w:spacing w:after="100"/>
      </w:pPr>
      <w:r>
        <w:rPr>
          <w:rFonts w:ascii="Calibri" w:cs="Calibri" w:eastAsia="Calibri" w:hAnsi="Calibri"/>
          <w:sz w:val="22"/>
          <w:szCs w:val="22"/>
        </w:rPr>
        <w:t xml:space="preserve">v0.1 (18-jul-2026). Diseño acordado, M1–M6 + MH estimados en Python y replicados en R (coincidencia al 4.º decimal). Documento inicial.</w:t>
      </w:r>
    </w:p>
    <w:sectPr>
      <w:pgSz w:w="12240" w:h="15840"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02521880d65a3308e34d3114278d1c751f955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2026-07-18T17:29:19.426Z</dcterms:created>
  <dcterms:modified xsi:type="dcterms:W3CDTF">2026-07-18T17:29:19.432Z</dcterms:modified>
</cp:coreProperties>
</file>

<file path=docProps/custom.xml><?xml version="1.0" encoding="utf-8"?>
<Properties xmlns="http://schemas.openxmlformats.org/officeDocument/2006/custom-properties" xmlns:vt="http://schemas.openxmlformats.org/officeDocument/2006/docPropsVTypes"/>
</file>