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PROFEducatec</w:t>
      </w:r>
    </w:p>
    <w:p>
      <w:pPr>
        <w:jc w:val="center"/>
      </w:pPr>
      <w:r>
        <w:rPr>
          <w:b/>
          <w:sz w:val="44"/>
        </w:rPr>
        <w:t>MANUAL DO PROFESSOR</w:t>
      </w:r>
    </w:p>
    <w:p>
      <w:pPr>
        <w:jc w:val="center"/>
      </w:pPr>
      <w:r>
        <w:rPr>
          <w:b/>
          <w:sz w:val="48"/>
        </w:rPr>
        <w:t>JOGAR, PENSAR E PROGRAMAR</w:t>
      </w:r>
    </w:p>
    <w:p>
      <w:pPr>
        <w:jc w:val="center"/>
      </w:pPr>
      <w:r>
        <w:rPr>
          <w:i/>
          <w:sz w:val="26"/>
        </w:rPr>
        <w:t>Jogos, estratégias e algoritmos para aprender brincando</w:t>
      </w:r>
    </w:p>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EAF4F2"/>
          </w:tcPr>
          <w:p>
            <w:r/>
            <w:r>
              <w:rPr>
                <w:rFonts w:ascii="Arial" w:hAnsi="Arial"/>
                <w:b/>
                <w:sz w:val="20"/>
              </w:rPr>
              <w:t>Produto educacional</w:t>
            </w:r>
          </w:p>
        </w:tc>
        <w:tc>
          <w:tcPr>
            <w:tcW w:type="dxa" w:w="4702"/>
            <w:vAlign w:val="center"/>
          </w:tcPr>
          <w:p>
            <w:r/>
            <w:r>
              <w:rPr>
                <w:rFonts w:ascii="Arial" w:hAnsi="Arial"/>
                <w:b w:val="0"/>
                <w:sz w:val="20"/>
              </w:rPr>
              <w:t>Jogar, Pensar e Programar</w:t>
            </w:r>
          </w:p>
        </w:tc>
      </w:tr>
      <w:tr>
        <w:tc>
          <w:tcPr>
            <w:tcW w:type="dxa" w:w="4702"/>
            <w:vAlign w:val="center"/>
            <w:shd w:fill="EAF4F2"/>
          </w:tcPr>
          <w:p>
            <w:r/>
            <w:r>
              <w:rPr>
                <w:rFonts w:ascii="Arial" w:hAnsi="Arial"/>
                <w:b/>
                <w:sz w:val="20"/>
              </w:rPr>
              <w:t>Público-alvo</w:t>
            </w:r>
          </w:p>
        </w:tc>
        <w:tc>
          <w:tcPr>
            <w:tcW w:type="dxa" w:w="4702"/>
            <w:vAlign w:val="center"/>
          </w:tcPr>
          <w:p>
            <w:r/>
            <w:r>
              <w:rPr>
                <w:rFonts w:ascii="Arial" w:hAnsi="Arial"/>
                <w:b w:val="0"/>
                <w:sz w:val="20"/>
              </w:rPr>
              <w:t>Estudantes dos anos iniciais do Ensino Fundamental, com foco no 3º ao 5º ano</w:t>
            </w:r>
          </w:p>
        </w:tc>
      </w:tr>
      <w:tr>
        <w:tc>
          <w:tcPr>
            <w:tcW w:type="dxa" w:w="4702"/>
            <w:vAlign w:val="center"/>
            <w:shd w:fill="EAF4F2"/>
          </w:tcPr>
          <w:p>
            <w:r/>
            <w:r>
              <w:rPr>
                <w:rFonts w:ascii="Arial" w:hAnsi="Arial"/>
                <w:b/>
                <w:sz w:val="20"/>
              </w:rPr>
              <w:t>Integração curricular</w:t>
            </w:r>
          </w:p>
        </w:tc>
        <w:tc>
          <w:tcPr>
            <w:tcW w:type="dxa" w:w="4702"/>
            <w:vAlign w:val="center"/>
          </w:tcPr>
          <w:p>
            <w:r/>
            <w:r>
              <w:rPr>
                <w:rFonts w:ascii="Arial" w:hAnsi="Arial"/>
                <w:b w:val="0"/>
                <w:sz w:val="20"/>
              </w:rPr>
              <w:t>Computação e Educação Física</w:t>
            </w:r>
          </w:p>
        </w:tc>
      </w:tr>
      <w:tr>
        <w:tc>
          <w:tcPr>
            <w:tcW w:type="dxa" w:w="4702"/>
            <w:vAlign w:val="center"/>
            <w:shd w:fill="EAF4F2"/>
          </w:tcPr>
          <w:p>
            <w:r/>
            <w:r>
              <w:rPr>
                <w:rFonts w:ascii="Arial" w:hAnsi="Arial"/>
                <w:b/>
                <w:sz w:val="20"/>
              </w:rPr>
              <w:t>Autoria</w:t>
            </w:r>
          </w:p>
        </w:tc>
        <w:tc>
          <w:tcPr>
            <w:tcW w:type="dxa" w:w="4702"/>
            <w:vAlign w:val="center"/>
          </w:tcPr>
          <w:p>
            <w:r/>
            <w:r>
              <w:rPr>
                <w:rFonts w:ascii="Arial" w:hAnsi="Arial"/>
                <w:b w:val="0"/>
                <w:sz w:val="20"/>
              </w:rPr>
              <w:t>Jannes Mary Muniz Rabelo</w:t>
            </w:r>
          </w:p>
        </w:tc>
      </w:tr>
      <w:tr>
        <w:tc>
          <w:tcPr>
            <w:tcW w:type="dxa" w:w="4702"/>
            <w:vAlign w:val="center"/>
            <w:shd w:fill="EAF4F2"/>
          </w:tcPr>
          <w:p>
            <w:r/>
            <w:r>
              <w:rPr>
                <w:rFonts w:ascii="Arial" w:hAnsi="Arial"/>
                <w:b/>
                <w:sz w:val="20"/>
              </w:rPr>
              <w:t>Acesso público</w:t>
            </w:r>
          </w:p>
        </w:tc>
        <w:tc>
          <w:tcPr>
            <w:tcW w:type="dxa" w:w="4702"/>
            <w:vAlign w:val="center"/>
          </w:tcPr>
          <w:p>
            <w:r/>
            <w:r>
              <w:rPr>
                <w:rFonts w:ascii="Arial" w:hAnsi="Arial"/>
                <w:b w:val="0"/>
                <w:sz w:val="20"/>
              </w:rPr>
              <w:t>https://jmmradbb26-arch.github.io/jogar-pensar-programar/</w:t>
            </w:r>
          </w:p>
        </w:tc>
      </w:tr>
    </w:tbl>
    <w:p/>
    <w:p>
      <w:pPr>
        <w:jc w:val="center"/>
      </w:pPr>
      <w:r>
        <w:rPr>
          <w:b/>
        </w:rPr>
        <w:t>Manaus – AM</w:t>
        <w:br/>
        <w:t>2026</w:t>
      </w:r>
    </w:p>
    <w:p>
      <w:r>
        <w:br w:type="page"/>
      </w:r>
    </w:p>
    <w:p>
      <w:pPr>
        <w:pStyle w:val="Heading1"/>
      </w:pPr>
      <w:r>
        <w:t>1. Apresentação</w:t>
      </w:r>
    </w:p>
    <w:p>
      <w:r>
        <w:t>O produto educacional “Jogar, Pensar e Programar” é uma aplicação digital voltada ao desenvolvimento do pensamento computacional por meio de desafios inspirados em jogos de estratégia e de território. A proposta articula comandos, sequências, análise de trajetórias e criação de soluções com elementos relacionados à Educação Física, especialmente aos jogos de matriz indígena e africana.</w:t>
      </w:r>
    </w:p>
    <w:p>
      <w:r>
        <w:t>O produto foi estruturado para que o estudante aprenda por meio da experimentação, da observação, da identificação de erros e da elaboração de sequências de comandos. A navegação é organizada em níveis: Identificar, Analisar, Criar e Desafio final.</w:t>
      </w:r>
    </w:p>
    <w:p>
      <w:r>
        <w:t>A aplicação foi preparada para funcionamento offline após o carregamento dos recursos necessários no navegador, ampliando as possibilidades de uso em contextos escolares com conectividade limitada.</w:t>
      </w:r>
    </w:p>
    <w:p>
      <w:pPr>
        <w:pStyle w:val="Heading1"/>
      </w:pPr>
      <w:r>
        <w:t>2. Finalidade deste manual</w:t>
      </w:r>
    </w:p>
    <w:p>
      <w:r>
        <w:t>Este manual orienta o professor na preparação, mediação e avaliação das atividades realizadas com o produto. Ele oferece uma referência prática para organizar a experiência de aprendizagem e relacioná-la aos objetivos curriculares.</w:t>
      </w:r>
    </w:p>
    <w:p>
      <w:pPr>
        <w:pStyle w:val="Heading1"/>
      </w:pPr>
      <w:r>
        <w:t>3. Público-alvo</w:t>
      </w:r>
    </w:p>
    <w:p>
      <w:r>
        <w:t>O produto foi pensado para estudantes dos anos iniciais do Ensino Fundamental, com foco no 3º ao 5º ano. As atividades podem ser adaptadas conforme faixa etária, conhecimentos prévios, necessidades de acessibilidade e organização da turma.</w:t>
      </w:r>
    </w:p>
    <w:p>
      <w:pPr>
        <w:pStyle w:val="Heading1"/>
      </w:pPr>
      <w:r>
        <w:t>4. Objetivos de aprendizagem</w:t>
      </w:r>
    </w:p>
    <w:p>
      <w:pPr>
        <w:pStyle w:val="ListBullet"/>
        <w:spacing w:after="60"/>
      </w:pPr>
      <w:r>
        <w:t>reconhecer comandos simples e sua relação com deslocamentos em um tabuleiro;</w:t>
      </w:r>
    </w:p>
    <w:p>
      <w:pPr>
        <w:pStyle w:val="ListBullet"/>
        <w:spacing w:after="60"/>
      </w:pPr>
      <w:r>
        <w:t>organizar comandos em uma sequência lógica para alcançar um objetivo;</w:t>
      </w:r>
    </w:p>
    <w:p>
      <w:pPr>
        <w:pStyle w:val="ListBullet"/>
        <w:spacing w:after="60"/>
      </w:pPr>
      <w:r>
        <w:t>analisar uma sequência e identificar o ponto em que o caminho é interrompido;</w:t>
      </w:r>
    </w:p>
    <w:p>
      <w:pPr>
        <w:pStyle w:val="ListBullet"/>
        <w:spacing w:after="60"/>
      </w:pPr>
      <w:r>
        <w:t>explicar por que determinado comando não produz o resultado esperado;</w:t>
      </w:r>
    </w:p>
    <w:p>
      <w:pPr>
        <w:pStyle w:val="ListBullet"/>
        <w:spacing w:after="60"/>
      </w:pPr>
      <w:r>
        <w:t>criar sequências simples para resolver desafios;</w:t>
      </w:r>
    </w:p>
    <w:p>
      <w:pPr>
        <w:pStyle w:val="ListBullet"/>
        <w:spacing w:after="60"/>
      </w:pPr>
      <w:r>
        <w:t>experimentar estratégias de resolução de problemas por meio de jogos;</w:t>
      </w:r>
    </w:p>
    <w:p>
      <w:pPr>
        <w:pStyle w:val="ListBullet"/>
        <w:spacing w:after="60"/>
      </w:pPr>
      <w:r>
        <w:t>relacionar regras, movimentos, território, estratégia e tomada de decisão;</w:t>
      </w:r>
    </w:p>
    <w:p>
      <w:pPr>
        <w:pStyle w:val="ListBullet"/>
        <w:spacing w:after="60"/>
      </w:pPr>
      <w:r>
        <w:t>valorizar a diversidade cultural presente nas referências aos jogos de matriz indígena e africana.</w:t>
      </w:r>
    </w:p>
    <w:p>
      <w:pPr>
        <w:pStyle w:val="Heading1"/>
      </w:pPr>
      <w:r>
        <w:t>5. Relação com a BNCC</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EAF4F2"/>
          </w:tcPr>
          <w:p>
            <w:r/>
            <w:r>
              <w:rPr>
                <w:rFonts w:ascii="Arial" w:hAnsi="Arial"/>
                <w:b/>
                <w:sz w:val="20"/>
              </w:rPr>
              <w:t>Componente</w:t>
            </w:r>
          </w:p>
        </w:tc>
        <w:tc>
          <w:tcPr>
            <w:tcW w:type="dxa" w:w="3135"/>
            <w:vAlign w:val="center"/>
            <w:shd w:fill="EAF4F2"/>
          </w:tcPr>
          <w:p>
            <w:r/>
            <w:r>
              <w:rPr>
                <w:rFonts w:ascii="Arial" w:hAnsi="Arial"/>
                <w:b/>
                <w:sz w:val="20"/>
              </w:rPr>
              <w:t>Habilidade</w:t>
            </w:r>
          </w:p>
        </w:tc>
        <w:tc>
          <w:tcPr>
            <w:tcW w:type="dxa" w:w="3135"/>
            <w:vAlign w:val="center"/>
            <w:shd w:fill="EAF4F2"/>
          </w:tcPr>
          <w:p>
            <w:r/>
            <w:r>
              <w:rPr>
                <w:rFonts w:ascii="Arial" w:hAnsi="Arial"/>
                <w:b/>
                <w:sz w:val="20"/>
              </w:rPr>
              <w:t>Como aparece no produto</w:t>
            </w:r>
          </w:p>
        </w:tc>
      </w:tr>
      <w:tr>
        <w:tc>
          <w:tcPr>
            <w:tcW w:type="dxa" w:w="3135"/>
            <w:vAlign w:val="center"/>
          </w:tcPr>
          <w:p>
            <w:r/>
            <w:r>
              <w:rPr>
                <w:rFonts w:ascii="Arial" w:hAnsi="Arial"/>
                <w:b w:val="0"/>
                <w:sz w:val="20"/>
              </w:rPr>
              <w:t>Computação</w:t>
            </w:r>
          </w:p>
        </w:tc>
        <w:tc>
          <w:tcPr>
            <w:tcW w:type="dxa" w:w="3135"/>
            <w:vAlign w:val="center"/>
          </w:tcPr>
          <w:p>
            <w:r/>
            <w:r>
              <w:rPr>
                <w:rFonts w:ascii="Arial" w:hAnsi="Arial"/>
                <w:b w:val="0"/>
                <w:sz w:val="20"/>
              </w:rPr>
              <w:t>EF03CO01 – Identificar, analisar e criar algoritmos simples para resolver problemas do cotidiano ou em jogos.</w:t>
            </w:r>
          </w:p>
        </w:tc>
        <w:tc>
          <w:tcPr>
            <w:tcW w:type="dxa" w:w="3135"/>
            <w:vAlign w:val="center"/>
          </w:tcPr>
          <w:p>
            <w:r/>
            <w:r>
              <w:rPr>
                <w:rFonts w:ascii="Arial" w:hAnsi="Arial"/>
                <w:b w:val="0"/>
                <w:sz w:val="20"/>
              </w:rPr>
              <w:t>Os níveis trabalham identificação de comandos, análise de sequências, criação de soluções e resolução de desafios.</w:t>
            </w:r>
          </w:p>
        </w:tc>
      </w:tr>
      <w:tr>
        <w:tc>
          <w:tcPr>
            <w:tcW w:type="dxa" w:w="3135"/>
            <w:vAlign w:val="center"/>
          </w:tcPr>
          <w:p>
            <w:r/>
            <w:r>
              <w:rPr>
                <w:rFonts w:ascii="Arial" w:hAnsi="Arial"/>
                <w:b w:val="0"/>
                <w:sz w:val="20"/>
              </w:rPr>
              <w:t>Educação Física</w:t>
            </w:r>
          </w:p>
        </w:tc>
        <w:tc>
          <w:tcPr>
            <w:tcW w:type="dxa" w:w="3135"/>
            <w:vAlign w:val="center"/>
          </w:tcPr>
          <w:p>
            <w:r/>
            <w:r>
              <w:rPr>
                <w:rFonts w:ascii="Arial" w:hAnsi="Arial"/>
                <w:b w:val="0"/>
                <w:sz w:val="20"/>
              </w:rPr>
              <w:t>EF35EF01 – Experimentar e fruir diferentes jogos de matriz indígena e africana e recriar jogos tradicionais.</w:t>
            </w:r>
          </w:p>
        </w:tc>
        <w:tc>
          <w:tcPr>
            <w:tcW w:type="dxa" w:w="3135"/>
            <w:vAlign w:val="center"/>
          </w:tcPr>
          <w:p>
            <w:r/>
            <w:r>
              <w:rPr>
                <w:rFonts w:ascii="Arial" w:hAnsi="Arial"/>
                <w:b w:val="0"/>
                <w:sz w:val="20"/>
              </w:rPr>
              <w:t>A proposta utiliza representações educativas inspiradas em jogos de território e estratégia, com referência às matrizes indígena e africana.</w:t>
            </w:r>
          </w:p>
        </w:tc>
      </w:tr>
    </w:tbl>
    <w:p>
      <w:r>
        <w:t>Observação: os tabuleiros digitais simplificados são representações educativas para desafios de deslocamento e algoritmos. Eles não substituem a experiência corporal, social e cultural dos jogos tradicionais em seus contextos de origem.</w:t>
      </w:r>
    </w:p>
    <w:p>
      <w:pPr>
        <w:pStyle w:val="Heading1"/>
      </w:pPr>
      <w:r>
        <w:t>6. Princípios pedagógicos</w:t>
      </w:r>
    </w:p>
    <w:p>
      <w:r>
        <w:rPr>
          <w:b/>
        </w:rPr>
        <w:t xml:space="preserve">Aprender fazendo: </w:t>
      </w:r>
      <w:r>
        <w:t>O estudante interage com o desafio, testa hipóteses, observa o resultado e ajusta sua estratégia.</w:t>
      </w:r>
    </w:p>
    <w:p>
      <w:r>
        <w:rPr>
          <w:b/>
        </w:rPr>
        <w:t xml:space="preserve">Progressão: </w:t>
      </w:r>
      <w:r>
        <w:t>As atividades avançam da identificação para a análise e, posteriormente, para a criação de soluções.</w:t>
      </w:r>
    </w:p>
    <w:p>
      <w:r>
        <w:rPr>
          <w:b/>
        </w:rPr>
        <w:t xml:space="preserve">Feedback: </w:t>
      </w:r>
      <w:r>
        <w:t>Após a resposta, o sistema apresenta retorno e permite visualizar a sequência executada.</w:t>
      </w:r>
    </w:p>
    <w:p>
      <w:r>
        <w:rPr>
          <w:b/>
        </w:rPr>
        <w:t xml:space="preserve">Autonomia: </w:t>
      </w:r>
      <w:r>
        <w:t>Os níveis ficam disponíveis desde o início, enquanto a ordem sugerida oferece um percurso gradual.</w:t>
      </w:r>
    </w:p>
    <w:p>
      <w:r>
        <w:rPr>
          <w:b/>
        </w:rPr>
        <w:t xml:space="preserve">Mediação docente: </w:t>
      </w:r>
      <w:r>
        <w:t>O professor conduz perguntas, discussões e relações com os conteúdos curriculares.</w:t>
      </w:r>
    </w:p>
    <w:p>
      <w:r>
        <w:rPr>
          <w:b/>
        </w:rPr>
        <w:t xml:space="preserve">Valorização cultural: </w:t>
      </w:r>
      <w:r>
        <w:t>As referências culturais devem ser contextualizadas e tratadas com respeito.</w:t>
      </w:r>
    </w:p>
    <w:p>
      <w:r>
        <w:br w:type="page"/>
      </w:r>
    </w:p>
    <w:p>
      <w:pPr>
        <w:pStyle w:val="Heading1"/>
      </w:pPr>
      <w:r>
        <w:t>7. Conhecendo o produto</w:t>
      </w:r>
    </w:p>
    <w:p>
      <w:r>
        <w:t>A interface apresenta uma navegação por níveis. Todos os níveis podem ser acessados desde o início, mas a ordem sugerida é Identificar → Analisar → Criar → Desafio final.</w:t>
      </w:r>
    </w:p>
    <w:p>
      <w:pPr>
        <w:pStyle w:val="ListBullet"/>
        <w:spacing w:after="60"/>
      </w:pPr>
      <w:r>
        <w:t>Identificar: reconhecimento de comandos, posições e trajetórias.</w:t>
      </w:r>
    </w:p>
    <w:p>
      <w:pPr>
        <w:pStyle w:val="ListBullet"/>
        <w:spacing w:after="60"/>
      </w:pPr>
      <w:r>
        <w:t>Analisar: observação de uma sequência e identificação do comando que interrompe o caminho.</w:t>
      </w:r>
    </w:p>
    <w:p>
      <w:pPr>
        <w:pStyle w:val="ListBullet"/>
        <w:spacing w:after="60"/>
      </w:pPr>
      <w:r>
        <w:t>Criar: elaboração de uma sequência de comandos para alcançar um objetivo.</w:t>
      </w:r>
    </w:p>
    <w:p>
      <w:pPr>
        <w:pStyle w:val="ListBullet"/>
        <w:spacing w:after="60"/>
      </w:pPr>
      <w:r>
        <w:t>Desafio final: integração das aprendizagens em uma situação de resolução de problema.</w:t>
      </w:r>
    </w:p>
    <w:p>
      <w:pPr>
        <w:pStyle w:val="Heading1"/>
      </w:pPr>
      <w:r>
        <w:t>8. Preparação do professor</w:t>
      </w:r>
    </w:p>
    <w:p>
      <w:pPr>
        <w:pStyle w:val="ListNumber"/>
        <w:spacing w:after="60"/>
      </w:pPr>
      <w:r>
        <w:t>abrir o produto no dispositivo que será utilizado;</w:t>
      </w:r>
    </w:p>
    <w:p>
      <w:pPr>
        <w:pStyle w:val="ListNumber"/>
        <w:spacing w:after="60"/>
      </w:pPr>
      <w:r>
        <w:t>testar a navegação e verificar se os desafios estão carregados;</w:t>
      </w:r>
    </w:p>
    <w:p>
      <w:pPr>
        <w:pStyle w:val="ListNumber"/>
        <w:spacing w:after="60"/>
      </w:pPr>
      <w:r>
        <w:t>confirmar a mensagem de preparação para uso offline quando necessário;</w:t>
      </w:r>
    </w:p>
    <w:p>
      <w:pPr>
        <w:pStyle w:val="ListNumber"/>
        <w:spacing w:after="60"/>
      </w:pPr>
      <w:r>
        <w:t>organizar os estudantes em duplas ou pequenos grupos, conforme os recursos disponíveis;</w:t>
      </w:r>
    </w:p>
    <w:p>
      <w:pPr>
        <w:pStyle w:val="ListNumber"/>
        <w:spacing w:after="60"/>
      </w:pPr>
      <w:r>
        <w:t>apresentar a proposta e combinar que os estudantes deverão explicar suas escolhas;</w:t>
      </w:r>
    </w:p>
    <w:p>
      <w:pPr>
        <w:pStyle w:val="ListNumber"/>
        <w:spacing w:after="60"/>
      </w:pPr>
      <w:r>
        <w:t>retomar conhecimentos prévios sobre regras de jogos, deslocamento, sequência e estratégia.</w:t>
      </w:r>
    </w:p>
    <w:p>
      <w:pPr>
        <w:pStyle w:val="Heading1"/>
      </w:pPr>
      <w:r>
        <w:t>9. Sugestão de organização em quatro momentos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shd w:fill="EAF4F2"/>
          </w:tcPr>
          <w:p>
            <w:r/>
            <w:r>
              <w:rPr>
                <w:rFonts w:ascii="Arial" w:hAnsi="Arial"/>
                <w:b/>
                <w:sz w:val="20"/>
              </w:rPr>
              <w:t>Momento</w:t>
            </w:r>
          </w:p>
        </w:tc>
        <w:tc>
          <w:tcPr>
            <w:tcW w:type="dxa" w:w="1881"/>
            <w:vAlign w:val="center"/>
            <w:shd w:fill="EAF4F2"/>
          </w:tcPr>
          <w:p>
            <w:r/>
            <w:r>
              <w:rPr>
                <w:rFonts w:ascii="Arial" w:hAnsi="Arial"/>
                <w:b/>
                <w:sz w:val="20"/>
              </w:rPr>
              <w:t>Foco</w:t>
            </w:r>
          </w:p>
        </w:tc>
        <w:tc>
          <w:tcPr>
            <w:tcW w:type="dxa" w:w="1881"/>
            <w:vAlign w:val="center"/>
            <w:shd w:fill="EAF4F2"/>
          </w:tcPr>
          <w:p>
            <w:r/>
            <w:r>
              <w:rPr>
                <w:rFonts w:ascii="Arial" w:hAnsi="Arial"/>
                <w:b/>
                <w:sz w:val="20"/>
              </w:rPr>
              <w:t>Ação do estudante</w:t>
            </w:r>
          </w:p>
        </w:tc>
        <w:tc>
          <w:tcPr>
            <w:tcW w:type="dxa" w:w="1881"/>
            <w:vAlign w:val="center"/>
            <w:shd w:fill="EAF4F2"/>
          </w:tcPr>
          <w:p>
            <w:r/>
            <w:r>
              <w:rPr>
                <w:rFonts w:ascii="Arial" w:hAnsi="Arial"/>
                <w:b/>
                <w:sz w:val="20"/>
              </w:rPr>
              <w:t>Mediação docente</w:t>
            </w:r>
          </w:p>
        </w:tc>
        <w:tc>
          <w:tcPr>
            <w:tcW w:type="dxa" w:w="1881"/>
            <w:vAlign w:val="center"/>
            <w:shd w:fill="EAF4F2"/>
          </w:tcPr>
          <w:p>
            <w:r/>
            <w:r>
              <w:rPr>
                <w:rFonts w:ascii="Arial" w:hAnsi="Arial"/>
                <w:b/>
                <w:sz w:val="20"/>
              </w:rPr>
              <w:t>Tempo</w:t>
            </w:r>
          </w:p>
        </w:tc>
      </w:tr>
      <w:tr>
        <w:tc>
          <w:tcPr>
            <w:tcW w:type="dxa" w:w="1881"/>
            <w:vAlign w:val="center"/>
          </w:tcPr>
          <w:p>
            <w:r/>
            <w:r>
              <w:rPr>
                <w:rFonts w:ascii="Arial" w:hAnsi="Arial"/>
                <w:b w:val="0"/>
                <w:sz w:val="20"/>
              </w:rPr>
              <w:t>1</w:t>
            </w:r>
          </w:p>
        </w:tc>
        <w:tc>
          <w:tcPr>
            <w:tcW w:type="dxa" w:w="1881"/>
            <w:vAlign w:val="center"/>
          </w:tcPr>
          <w:p>
            <w:r/>
            <w:r>
              <w:rPr>
                <w:rFonts w:ascii="Arial" w:hAnsi="Arial"/>
                <w:b w:val="0"/>
                <w:sz w:val="20"/>
              </w:rPr>
              <w:t>Identificar</w:t>
            </w:r>
          </w:p>
        </w:tc>
        <w:tc>
          <w:tcPr>
            <w:tcW w:type="dxa" w:w="1881"/>
            <w:vAlign w:val="center"/>
          </w:tcPr>
          <w:p>
            <w:r/>
            <w:r>
              <w:rPr>
                <w:rFonts w:ascii="Arial" w:hAnsi="Arial"/>
                <w:b w:val="0"/>
                <w:sz w:val="20"/>
              </w:rPr>
              <w:t>Reconhecer comandos e trajetórias.</w:t>
            </w:r>
          </w:p>
        </w:tc>
        <w:tc>
          <w:tcPr>
            <w:tcW w:type="dxa" w:w="1881"/>
            <w:vAlign w:val="center"/>
          </w:tcPr>
          <w:p>
            <w:r/>
            <w:r>
              <w:rPr>
                <w:rFonts w:ascii="Arial" w:hAnsi="Arial"/>
                <w:b w:val="0"/>
                <w:sz w:val="20"/>
              </w:rPr>
              <w:t>Perguntar o que cada comando faz.</w:t>
            </w:r>
          </w:p>
        </w:tc>
        <w:tc>
          <w:tcPr>
            <w:tcW w:type="dxa" w:w="1881"/>
            <w:vAlign w:val="center"/>
          </w:tcPr>
          <w:p>
            <w:r/>
            <w:r>
              <w:rPr>
                <w:rFonts w:ascii="Arial" w:hAnsi="Arial"/>
                <w:b w:val="0"/>
                <w:sz w:val="20"/>
              </w:rPr>
              <w:t>15–20 min</w:t>
            </w:r>
          </w:p>
        </w:tc>
      </w:tr>
      <w:tr>
        <w:tc>
          <w:tcPr>
            <w:tcW w:type="dxa" w:w="1881"/>
            <w:vAlign w:val="center"/>
          </w:tcPr>
          <w:p>
            <w:r/>
            <w:r>
              <w:rPr>
                <w:rFonts w:ascii="Arial" w:hAnsi="Arial"/>
                <w:b w:val="0"/>
                <w:sz w:val="20"/>
              </w:rPr>
              <w:t>2</w:t>
            </w:r>
          </w:p>
        </w:tc>
        <w:tc>
          <w:tcPr>
            <w:tcW w:type="dxa" w:w="1881"/>
            <w:vAlign w:val="center"/>
          </w:tcPr>
          <w:p>
            <w:r/>
            <w:r>
              <w:rPr>
                <w:rFonts w:ascii="Arial" w:hAnsi="Arial"/>
                <w:b w:val="0"/>
                <w:sz w:val="20"/>
              </w:rPr>
              <w:t>Analisar</w:t>
            </w:r>
          </w:p>
        </w:tc>
        <w:tc>
          <w:tcPr>
            <w:tcW w:type="dxa" w:w="1881"/>
            <w:vAlign w:val="center"/>
          </w:tcPr>
          <w:p>
            <w:r/>
            <w:r>
              <w:rPr>
                <w:rFonts w:ascii="Arial" w:hAnsi="Arial"/>
                <w:b w:val="0"/>
                <w:sz w:val="20"/>
              </w:rPr>
              <w:t>Localizar o comando que interrompe o caminho.</w:t>
            </w:r>
          </w:p>
        </w:tc>
        <w:tc>
          <w:tcPr>
            <w:tcW w:type="dxa" w:w="1881"/>
            <w:vAlign w:val="center"/>
          </w:tcPr>
          <w:p>
            <w:r/>
            <w:r>
              <w:rPr>
                <w:rFonts w:ascii="Arial" w:hAnsi="Arial"/>
                <w:b w:val="0"/>
                <w:sz w:val="20"/>
              </w:rPr>
              <w:t>Solicitar justificativa.</w:t>
            </w:r>
          </w:p>
        </w:tc>
        <w:tc>
          <w:tcPr>
            <w:tcW w:type="dxa" w:w="1881"/>
            <w:vAlign w:val="center"/>
          </w:tcPr>
          <w:p>
            <w:r/>
            <w:r>
              <w:rPr>
                <w:rFonts w:ascii="Arial" w:hAnsi="Arial"/>
                <w:b w:val="0"/>
                <w:sz w:val="20"/>
              </w:rPr>
              <w:t>15–20 min</w:t>
            </w:r>
          </w:p>
        </w:tc>
      </w:tr>
      <w:tr>
        <w:tc>
          <w:tcPr>
            <w:tcW w:type="dxa" w:w="1881"/>
            <w:vAlign w:val="center"/>
          </w:tcPr>
          <w:p>
            <w:r/>
            <w:r>
              <w:rPr>
                <w:rFonts w:ascii="Arial" w:hAnsi="Arial"/>
                <w:b w:val="0"/>
                <w:sz w:val="20"/>
              </w:rPr>
              <w:t>3</w:t>
            </w:r>
          </w:p>
        </w:tc>
        <w:tc>
          <w:tcPr>
            <w:tcW w:type="dxa" w:w="1881"/>
            <w:vAlign w:val="center"/>
          </w:tcPr>
          <w:p>
            <w:r/>
            <w:r>
              <w:rPr>
                <w:rFonts w:ascii="Arial" w:hAnsi="Arial"/>
                <w:b w:val="0"/>
                <w:sz w:val="20"/>
              </w:rPr>
              <w:t>Criar</w:t>
            </w:r>
          </w:p>
        </w:tc>
        <w:tc>
          <w:tcPr>
            <w:tcW w:type="dxa" w:w="1881"/>
            <w:vAlign w:val="center"/>
          </w:tcPr>
          <w:p>
            <w:r/>
            <w:r>
              <w:rPr>
                <w:rFonts w:ascii="Arial" w:hAnsi="Arial"/>
                <w:b w:val="0"/>
                <w:sz w:val="20"/>
              </w:rPr>
              <w:t>Construir uma sequência.</w:t>
            </w:r>
          </w:p>
        </w:tc>
        <w:tc>
          <w:tcPr>
            <w:tcW w:type="dxa" w:w="1881"/>
            <w:vAlign w:val="center"/>
          </w:tcPr>
          <w:p>
            <w:r/>
            <w:r>
              <w:rPr>
                <w:rFonts w:ascii="Arial" w:hAnsi="Arial"/>
                <w:b w:val="0"/>
                <w:sz w:val="20"/>
              </w:rPr>
              <w:t>Estimular tentativa, teste e revisão.</w:t>
            </w:r>
          </w:p>
        </w:tc>
        <w:tc>
          <w:tcPr>
            <w:tcW w:type="dxa" w:w="1881"/>
            <w:vAlign w:val="center"/>
          </w:tcPr>
          <w:p>
            <w:r/>
            <w:r>
              <w:rPr>
                <w:rFonts w:ascii="Arial" w:hAnsi="Arial"/>
                <w:b w:val="0"/>
                <w:sz w:val="20"/>
              </w:rPr>
              <w:t>20–25 min</w:t>
            </w:r>
          </w:p>
        </w:tc>
      </w:tr>
      <w:tr>
        <w:tc>
          <w:tcPr>
            <w:tcW w:type="dxa" w:w="1881"/>
            <w:vAlign w:val="center"/>
          </w:tcPr>
          <w:p>
            <w:r/>
            <w:r>
              <w:rPr>
                <w:rFonts w:ascii="Arial" w:hAnsi="Arial"/>
                <w:b w:val="0"/>
                <w:sz w:val="20"/>
              </w:rPr>
              <w:t>4</w:t>
            </w:r>
          </w:p>
        </w:tc>
        <w:tc>
          <w:tcPr>
            <w:tcW w:type="dxa" w:w="1881"/>
            <w:vAlign w:val="center"/>
          </w:tcPr>
          <w:p>
            <w:r/>
            <w:r>
              <w:rPr>
                <w:rFonts w:ascii="Arial" w:hAnsi="Arial"/>
                <w:b w:val="0"/>
                <w:sz w:val="20"/>
              </w:rPr>
              <w:t>Desafio final</w:t>
            </w:r>
          </w:p>
        </w:tc>
        <w:tc>
          <w:tcPr>
            <w:tcW w:type="dxa" w:w="1881"/>
            <w:vAlign w:val="center"/>
          </w:tcPr>
          <w:p>
            <w:r/>
            <w:r>
              <w:rPr>
                <w:rFonts w:ascii="Arial" w:hAnsi="Arial"/>
                <w:b w:val="0"/>
                <w:sz w:val="20"/>
              </w:rPr>
              <w:t>Aplicar estratégias de forma integrada.</w:t>
            </w:r>
          </w:p>
        </w:tc>
        <w:tc>
          <w:tcPr>
            <w:tcW w:type="dxa" w:w="1881"/>
            <w:vAlign w:val="center"/>
          </w:tcPr>
          <w:p>
            <w:r/>
            <w:r>
              <w:rPr>
                <w:rFonts w:ascii="Arial" w:hAnsi="Arial"/>
                <w:b w:val="0"/>
                <w:sz w:val="20"/>
              </w:rPr>
              <w:t>Promover reflexão.</w:t>
            </w:r>
          </w:p>
        </w:tc>
        <w:tc>
          <w:tcPr>
            <w:tcW w:type="dxa" w:w="1881"/>
            <w:vAlign w:val="center"/>
          </w:tcPr>
          <w:p>
            <w:r/>
            <w:r>
              <w:rPr>
                <w:rFonts w:ascii="Arial" w:hAnsi="Arial"/>
                <w:b w:val="0"/>
                <w:sz w:val="20"/>
              </w:rPr>
              <w:t>20–30 min</w:t>
            </w:r>
          </w:p>
        </w:tc>
      </w:tr>
    </w:tbl>
    <w:p>
      <w:pPr>
        <w:pStyle w:val="Heading1"/>
      </w:pPr>
      <w:r>
        <w:t>10. Aula 1 – Identificar</w:t>
      </w:r>
    </w:p>
    <w:p>
      <w:r>
        <w:t>Foco: reconhecer comandos, posições e deslocamentos. Objetivo: compreender que um algoritmo pode ser representado por uma sequência de instruções.</w:t>
      </w:r>
    </w:p>
    <w:p>
      <w:pPr>
        <w:pStyle w:val="ListNumber"/>
        <w:spacing w:after="60"/>
      </w:pPr>
      <w:r>
        <w:t>Apresente o objetivo do desafio e explique o tabuleiro.</w:t>
      </w:r>
    </w:p>
    <w:p>
      <w:pPr>
        <w:pStyle w:val="ListNumber"/>
        <w:spacing w:after="60"/>
      </w:pPr>
      <w:r>
        <w:t>Peça que observem as posições inicial e final.</w:t>
      </w:r>
    </w:p>
    <w:p>
      <w:pPr>
        <w:pStyle w:val="ListNumber"/>
        <w:spacing w:after="60"/>
      </w:pPr>
      <w:r>
        <w:t>Solicite que leiam os comandos disponíveis.</w:t>
      </w:r>
    </w:p>
    <w:p>
      <w:pPr>
        <w:pStyle w:val="ListNumber"/>
        <w:spacing w:after="60"/>
      </w:pPr>
      <w:r>
        <w:t>Peça que expliquem oralmente o que acreditam que acontecerá.</w:t>
      </w:r>
    </w:p>
    <w:p>
      <w:pPr>
        <w:pStyle w:val="ListNumber"/>
        <w:spacing w:after="60"/>
      </w:pPr>
      <w:r>
        <w:t>Realize a atividade e converse sobre a relação entre comando e movimento.</w:t>
      </w:r>
    </w:p>
    <w:p>
      <w:r>
        <w:t>Perguntas para mediação:</w:t>
      </w:r>
    </w:p>
    <w:p>
      <w:pPr>
        <w:pStyle w:val="ListBullet"/>
        <w:spacing w:after="60"/>
      </w:pPr>
      <w:r>
        <w:t>O que acontece quando executamos este comando?</w:t>
      </w:r>
    </w:p>
    <w:p>
      <w:pPr>
        <w:pStyle w:val="ListBullet"/>
        <w:spacing w:after="60"/>
      </w:pPr>
      <w:r>
        <w:t>Para onde a peça vai?</w:t>
      </w:r>
    </w:p>
    <w:p>
      <w:pPr>
        <w:pStyle w:val="ListBullet"/>
        <w:spacing w:after="60"/>
      </w:pPr>
      <w:r>
        <w:t>O comando sozinho é suficiente para chegar ao objetivo?</w:t>
      </w:r>
    </w:p>
    <w:p>
      <w:pPr>
        <w:pStyle w:val="ListBullet"/>
        <w:spacing w:after="60"/>
      </w:pPr>
      <w:r>
        <w:t>Como podemos representar esse movimento em palavras?</w:t>
      </w:r>
    </w:p>
    <w:p>
      <w:pPr>
        <w:pStyle w:val="Heading1"/>
      </w:pPr>
      <w:r>
        <w:t>11. Aula 2 – Analisar</w:t>
      </w:r>
    </w:p>
    <w:p>
      <w:r>
        <w:t>Foco: localizar o ponto de interrupção em uma sequência.</w:t>
      </w:r>
    </w:p>
    <w:p>
      <w:r>
        <w:t>Na atividade atual, a orientação é: “Observe a sequência e escolha o comando que interrompe o caminho.” O estudante escolhe entre comandos apresentados e recebe feedback explicando o motivo da interrupção.</w:t>
      </w:r>
    </w:p>
    <w:p>
      <w:pPr>
        <w:pStyle w:val="ListNumber"/>
        <w:spacing w:after="60"/>
      </w:pPr>
      <w:r>
        <w:t>Peça que acompanhem a sequência na ordem em que os comandos aparecem.</w:t>
      </w:r>
    </w:p>
    <w:p>
      <w:pPr>
        <w:pStyle w:val="ListNumber"/>
        <w:spacing w:after="60"/>
      </w:pPr>
      <w:r>
        <w:t>Solicite que observem o que ocorre após cada movimento.</w:t>
      </w:r>
    </w:p>
    <w:p>
      <w:pPr>
        <w:pStyle w:val="ListNumber"/>
        <w:spacing w:after="60"/>
      </w:pPr>
      <w:r>
        <w:t>Pergunte em qual comando o objetivo deixa de ser possível.</w:t>
      </w:r>
    </w:p>
    <w:p>
      <w:pPr>
        <w:pStyle w:val="ListNumber"/>
        <w:spacing w:after="60"/>
      </w:pPr>
      <w:r>
        <w:t>Use o feedback para discutir a diferença entre comando válido e comando executável naquele contexto.</w:t>
      </w:r>
    </w:p>
    <w:p>
      <w:pPr>
        <w:pStyle w:val="ListNumber"/>
        <w:spacing w:after="60"/>
      </w:pPr>
      <w:r>
        <w:t>Utilize “Ver sequência e resultado” para reconstruir o caminho passo a passo.</w:t>
      </w:r>
    </w:p>
    <w:p>
      <w:r>
        <w:t>Perguntas para mediação:</w:t>
      </w:r>
    </w:p>
    <w:p>
      <w:pPr>
        <w:pStyle w:val="ListBullet"/>
        <w:spacing w:after="60"/>
      </w:pPr>
      <w:r>
        <w:t>Qual foi o primeiro movimento que não pôde acontecer?</w:t>
      </w:r>
    </w:p>
    <w:p>
      <w:pPr>
        <w:pStyle w:val="ListBullet"/>
        <w:spacing w:after="60"/>
      </w:pPr>
      <w:r>
        <w:t>O problema está no comando ou na posição da peça?</w:t>
      </w:r>
    </w:p>
    <w:p>
      <w:pPr>
        <w:pStyle w:val="ListBullet"/>
        <w:spacing w:after="60"/>
      </w:pPr>
      <w:r>
        <w:t>Como você descobriu onde o caminho foi interrompido?</w:t>
      </w:r>
    </w:p>
    <w:p>
      <w:pPr>
        <w:pStyle w:val="ListBullet"/>
        <w:spacing w:after="60"/>
      </w:pPr>
      <w:r>
        <w:t>O que poderia ser alterado para que a sequência continuasse?</w:t>
      </w:r>
    </w:p>
    <w:p>
      <w:pPr>
        <w:pStyle w:val="Heading1"/>
      </w:pPr>
      <w:r>
        <w:t>12. Aula 3 – Criar</w:t>
      </w:r>
    </w:p>
    <w:p>
      <w:r>
        <w:t>Foco: elaboração de uma solução por meio de uma sequência de comandos.</w:t>
      </w:r>
    </w:p>
    <w:p>
      <w:pPr>
        <w:pStyle w:val="ListNumber"/>
        <w:spacing w:after="60"/>
      </w:pPr>
      <w:r>
        <w:t>Apresente o objetivo sem antecipar a sequência correta.</w:t>
      </w:r>
    </w:p>
    <w:p>
      <w:pPr>
        <w:pStyle w:val="ListNumber"/>
        <w:spacing w:after="60"/>
      </w:pPr>
      <w:r>
        <w:t>Peça que planejem oralmente ou no papel antes de executar.</w:t>
      </w:r>
    </w:p>
    <w:p>
      <w:pPr>
        <w:pStyle w:val="ListNumber"/>
        <w:spacing w:after="60"/>
      </w:pPr>
      <w:r>
        <w:t>Permita que testem a sequência e observem o resultado.</w:t>
      </w:r>
    </w:p>
    <w:p>
      <w:pPr>
        <w:pStyle w:val="ListNumber"/>
        <w:spacing w:after="60"/>
      </w:pPr>
      <w:r>
        <w:t>Quando houver erro, incentive a identificação do comando a ser revisto.</w:t>
      </w:r>
    </w:p>
    <w:p>
      <w:pPr>
        <w:pStyle w:val="ListNumber"/>
        <w:spacing w:after="60"/>
      </w:pPr>
      <w:r>
        <w:t>Solicite que expliquem por que a sequência escolhida resolve o problema.</w:t>
      </w:r>
    </w:p>
    <w:p>
      <w:r>
        <w:t>Perguntas para mediação:</w:t>
      </w:r>
    </w:p>
    <w:p>
      <w:pPr>
        <w:pStyle w:val="ListBullet"/>
        <w:spacing w:after="60"/>
      </w:pPr>
      <w:r>
        <w:t>Qual é o primeiro comando necessário?</w:t>
      </w:r>
    </w:p>
    <w:p>
      <w:pPr>
        <w:pStyle w:val="ListBullet"/>
        <w:spacing w:after="60"/>
      </w:pPr>
      <w:r>
        <w:t>Como você sabe qual será o próximo movimento?</w:t>
      </w:r>
    </w:p>
    <w:p>
      <w:pPr>
        <w:pStyle w:val="ListBullet"/>
        <w:spacing w:after="60"/>
      </w:pPr>
      <w:r>
        <w:t>Existe outra sequência possível?</w:t>
      </w:r>
    </w:p>
    <w:p>
      <w:pPr>
        <w:pStyle w:val="ListBullet"/>
        <w:spacing w:after="60"/>
      </w:pPr>
      <w:r>
        <w:t>Como você poderia melhorar sua solução?</w:t>
      </w:r>
    </w:p>
    <w:p>
      <w:pPr>
        <w:pStyle w:val="Heading1"/>
      </w:pPr>
      <w:r>
        <w:t>13. Aula 4 – Desafio final</w:t>
      </w:r>
    </w:p>
    <w:p>
      <w:r>
        <w:t>O desafio final integra as aprendizagens anteriores. Pode ser utilizado como momento de síntese, observando não apenas o resultado, mas também a estratégia utilizada.</w:t>
      </w:r>
    </w:p>
    <w:p>
      <w:pPr>
        <w:pStyle w:val="ListNumber"/>
        <w:spacing w:after="60"/>
      </w:pPr>
      <w:r>
        <w:t>Peça que expliquem como resolveram o desafio.</w:t>
      </w:r>
    </w:p>
    <w:p>
      <w:pPr>
        <w:pStyle w:val="ListNumber"/>
        <w:spacing w:after="60"/>
      </w:pPr>
      <w:r>
        <w:t>Compare diferentes estratégias sem transformar a atividade em competição de respostas.</w:t>
      </w:r>
    </w:p>
    <w:p>
      <w:pPr>
        <w:pStyle w:val="ListNumber"/>
        <w:spacing w:after="60"/>
      </w:pPr>
      <w:r>
        <w:t>Retome comando, sequência, algoritmo, erro, teste e revisão.</w:t>
      </w:r>
    </w:p>
    <w:p>
      <w:pPr>
        <w:pStyle w:val="ListNumber"/>
        <w:spacing w:after="60"/>
      </w:pPr>
      <w:r>
        <w:t>Relacione a atividade às regras e estratégias presentes nos jogos trabalhados.</w:t>
      </w:r>
    </w:p>
    <w:p>
      <w:r>
        <w:br w:type="page"/>
      </w:r>
    </w:p>
    <w:p>
      <w:pPr>
        <w:pStyle w:val="Heading1"/>
      </w:pPr>
      <w:r>
        <w:t>14. Papel do professor</w:t>
      </w:r>
    </w:p>
    <w:p>
      <w:r>
        <w:t>O professor atua como mediador da aprendizagem. O objetivo não é fornecer imediatamente a resposta correta, mas criar condições para que o estudante observe, formule hipóteses, teste, explique e revise suas decisões.</w:t>
      </w:r>
    </w:p>
    <w:p>
      <w:pPr>
        <w:pStyle w:val="ListBullet"/>
        <w:spacing w:after="60"/>
      </w:pPr>
      <w:r>
        <w:t>valorizar a explicação do raciocínio, além do acerto;</w:t>
      </w:r>
    </w:p>
    <w:p>
      <w:pPr>
        <w:pStyle w:val="ListBullet"/>
        <w:spacing w:after="60"/>
      </w:pPr>
      <w:r>
        <w:t>incentivar a cooperação;</w:t>
      </w:r>
    </w:p>
    <w:p>
      <w:pPr>
        <w:pStyle w:val="ListBullet"/>
        <w:spacing w:after="60"/>
      </w:pPr>
      <w:r>
        <w:t>usar perguntas abertas;</w:t>
      </w:r>
    </w:p>
    <w:p>
      <w:pPr>
        <w:pStyle w:val="ListBullet"/>
        <w:spacing w:after="60"/>
      </w:pPr>
      <w:r>
        <w:t>relacionar os desafios digitais a situações concretas de jogos e resolução de problemas;</w:t>
      </w:r>
    </w:p>
    <w:p>
      <w:pPr>
        <w:pStyle w:val="ListBullet"/>
        <w:spacing w:after="60"/>
      </w:pPr>
      <w:r>
        <w:t>observar dificuldades recorrentes e retomá-las coletivamente.</w:t>
      </w:r>
    </w:p>
    <w:p>
      <w:pPr>
        <w:pStyle w:val="Heading1"/>
      </w:pPr>
      <w:r>
        <w:t>15. Avaliação da aprendizagem</w:t>
      </w:r>
    </w:p>
    <w:p>
      <w:r>
        <w:t>A avaliação pode ser processual e formativa, considerando o percurso do estudante.</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fill="EAF4F2"/>
          </w:tcPr>
          <w:p>
            <w:r/>
            <w:r>
              <w:rPr>
                <w:rFonts w:ascii="Arial" w:hAnsi="Arial"/>
                <w:b/>
                <w:sz w:val="20"/>
              </w:rPr>
              <w:t>Dimensão</w:t>
            </w:r>
          </w:p>
        </w:tc>
        <w:tc>
          <w:tcPr>
            <w:tcW w:type="dxa" w:w="2351"/>
            <w:vAlign w:val="center"/>
            <w:shd w:fill="EAF4F2"/>
          </w:tcPr>
          <w:p>
            <w:r/>
            <w:r>
              <w:rPr>
                <w:rFonts w:ascii="Arial" w:hAnsi="Arial"/>
                <w:b/>
                <w:sz w:val="20"/>
              </w:rPr>
              <w:t>Indicador observável</w:t>
            </w:r>
          </w:p>
        </w:tc>
        <w:tc>
          <w:tcPr>
            <w:tcW w:type="dxa" w:w="2351"/>
            <w:vAlign w:val="center"/>
            <w:shd w:fill="EAF4F2"/>
          </w:tcPr>
          <w:p>
            <w:r/>
            <w:r>
              <w:rPr>
                <w:rFonts w:ascii="Arial" w:hAnsi="Arial"/>
                <w:b/>
                <w:sz w:val="20"/>
              </w:rPr>
              <w:t>Registro</w:t>
            </w:r>
          </w:p>
        </w:tc>
        <w:tc>
          <w:tcPr>
            <w:tcW w:type="dxa" w:w="2351"/>
            <w:vAlign w:val="center"/>
            <w:shd w:fill="EAF4F2"/>
          </w:tcPr>
          <w:p>
            <w:r/>
            <w:r>
              <w:rPr>
                <w:rFonts w:ascii="Arial" w:hAnsi="Arial"/>
                <w:b/>
                <w:sz w:val="20"/>
              </w:rPr>
              <w:t>Evidência</w:t>
            </w:r>
          </w:p>
        </w:tc>
      </w:tr>
      <w:tr>
        <w:tc>
          <w:tcPr>
            <w:tcW w:type="dxa" w:w="2351"/>
            <w:vAlign w:val="center"/>
          </w:tcPr>
          <w:p>
            <w:r/>
            <w:r>
              <w:rPr>
                <w:rFonts w:ascii="Arial" w:hAnsi="Arial"/>
                <w:b w:val="0"/>
                <w:sz w:val="20"/>
              </w:rPr>
              <w:t>Identificação</w:t>
            </w:r>
          </w:p>
        </w:tc>
        <w:tc>
          <w:tcPr>
            <w:tcW w:type="dxa" w:w="2351"/>
            <w:vAlign w:val="center"/>
          </w:tcPr>
          <w:p>
            <w:r/>
            <w:r>
              <w:rPr>
                <w:rFonts w:ascii="Arial" w:hAnsi="Arial"/>
                <w:b w:val="0"/>
                <w:sz w:val="20"/>
              </w:rPr>
              <w:t>Reconhece o efeito de comandos simples.</w:t>
            </w:r>
          </w:p>
        </w:tc>
        <w:tc>
          <w:tcPr>
            <w:tcW w:type="dxa" w:w="2351"/>
            <w:vAlign w:val="center"/>
          </w:tcPr>
          <w:p>
            <w:r/>
            <w:r>
              <w:rPr>
                <w:rFonts w:ascii="Arial" w:hAnsi="Arial"/>
                <w:b w:val="0"/>
                <w:sz w:val="20"/>
              </w:rPr>
              <w:t>✓ / Em desenvolvimento</w:t>
            </w:r>
          </w:p>
        </w:tc>
        <w:tc>
          <w:tcPr>
            <w:tcW w:type="dxa" w:w="2351"/>
            <w:vAlign w:val="center"/>
          </w:tcPr>
          <w:p>
            <w:r/>
            <w:r>
              <w:rPr>
                <w:rFonts w:ascii="Arial" w:hAnsi="Arial"/>
                <w:b w:val="0"/>
                <w:sz w:val="20"/>
              </w:rPr>
              <w:t>Resposta e explicação oral.</w:t>
            </w:r>
          </w:p>
        </w:tc>
      </w:tr>
      <w:tr>
        <w:tc>
          <w:tcPr>
            <w:tcW w:type="dxa" w:w="2351"/>
            <w:vAlign w:val="center"/>
          </w:tcPr>
          <w:p>
            <w:r/>
            <w:r>
              <w:rPr>
                <w:rFonts w:ascii="Arial" w:hAnsi="Arial"/>
                <w:b w:val="0"/>
                <w:sz w:val="20"/>
              </w:rPr>
              <w:t>Análise</w:t>
            </w:r>
          </w:p>
        </w:tc>
        <w:tc>
          <w:tcPr>
            <w:tcW w:type="dxa" w:w="2351"/>
            <w:vAlign w:val="center"/>
          </w:tcPr>
          <w:p>
            <w:r/>
            <w:r>
              <w:rPr>
                <w:rFonts w:ascii="Arial" w:hAnsi="Arial"/>
                <w:b w:val="0"/>
                <w:sz w:val="20"/>
              </w:rPr>
              <w:t>Localiza o comando que interrompe uma sequência.</w:t>
            </w:r>
          </w:p>
        </w:tc>
        <w:tc>
          <w:tcPr>
            <w:tcW w:type="dxa" w:w="2351"/>
            <w:vAlign w:val="center"/>
          </w:tcPr>
          <w:p>
            <w:r/>
            <w:r>
              <w:rPr>
                <w:rFonts w:ascii="Arial" w:hAnsi="Arial"/>
                <w:b w:val="0"/>
                <w:sz w:val="20"/>
              </w:rPr>
              <w:t>✓ / Em desenvolvimento</w:t>
            </w:r>
          </w:p>
        </w:tc>
        <w:tc>
          <w:tcPr>
            <w:tcW w:type="dxa" w:w="2351"/>
            <w:vAlign w:val="center"/>
          </w:tcPr>
          <w:p>
            <w:r/>
            <w:r>
              <w:rPr>
                <w:rFonts w:ascii="Arial" w:hAnsi="Arial"/>
                <w:b w:val="0"/>
                <w:sz w:val="20"/>
              </w:rPr>
              <w:t>Escolha e justificativa.</w:t>
            </w:r>
          </w:p>
        </w:tc>
      </w:tr>
      <w:tr>
        <w:tc>
          <w:tcPr>
            <w:tcW w:type="dxa" w:w="2351"/>
            <w:vAlign w:val="center"/>
          </w:tcPr>
          <w:p>
            <w:r/>
            <w:r>
              <w:rPr>
                <w:rFonts w:ascii="Arial" w:hAnsi="Arial"/>
                <w:b w:val="0"/>
                <w:sz w:val="20"/>
              </w:rPr>
              <w:t>Criação</w:t>
            </w:r>
          </w:p>
        </w:tc>
        <w:tc>
          <w:tcPr>
            <w:tcW w:type="dxa" w:w="2351"/>
            <w:vAlign w:val="center"/>
          </w:tcPr>
          <w:p>
            <w:r/>
            <w:r>
              <w:rPr>
                <w:rFonts w:ascii="Arial" w:hAnsi="Arial"/>
                <w:b w:val="0"/>
                <w:sz w:val="20"/>
              </w:rPr>
              <w:t>Elabora uma sequência coerente.</w:t>
            </w:r>
          </w:p>
        </w:tc>
        <w:tc>
          <w:tcPr>
            <w:tcW w:type="dxa" w:w="2351"/>
            <w:vAlign w:val="center"/>
          </w:tcPr>
          <w:p>
            <w:r/>
            <w:r>
              <w:rPr>
                <w:rFonts w:ascii="Arial" w:hAnsi="Arial"/>
                <w:b w:val="0"/>
                <w:sz w:val="20"/>
              </w:rPr>
              <w:t>✓ / Em desenvolvimento</w:t>
            </w:r>
          </w:p>
        </w:tc>
        <w:tc>
          <w:tcPr>
            <w:tcW w:type="dxa" w:w="2351"/>
            <w:vAlign w:val="center"/>
          </w:tcPr>
          <w:p>
            <w:r/>
            <w:r>
              <w:rPr>
                <w:rFonts w:ascii="Arial" w:hAnsi="Arial"/>
                <w:b w:val="0"/>
                <w:sz w:val="20"/>
              </w:rPr>
              <w:t>Sequência construída.</w:t>
            </w:r>
          </w:p>
        </w:tc>
      </w:tr>
      <w:tr>
        <w:tc>
          <w:tcPr>
            <w:tcW w:type="dxa" w:w="2351"/>
            <w:vAlign w:val="center"/>
          </w:tcPr>
          <w:p>
            <w:r/>
            <w:r>
              <w:rPr>
                <w:rFonts w:ascii="Arial" w:hAnsi="Arial"/>
                <w:b w:val="0"/>
                <w:sz w:val="20"/>
              </w:rPr>
              <w:t>Revisão</w:t>
            </w:r>
          </w:p>
        </w:tc>
        <w:tc>
          <w:tcPr>
            <w:tcW w:type="dxa" w:w="2351"/>
            <w:vAlign w:val="center"/>
          </w:tcPr>
          <w:p>
            <w:r/>
            <w:r>
              <w:rPr>
                <w:rFonts w:ascii="Arial" w:hAnsi="Arial"/>
                <w:b w:val="0"/>
                <w:sz w:val="20"/>
              </w:rPr>
              <w:t>Identifica e corrige um erro.</w:t>
            </w:r>
          </w:p>
        </w:tc>
        <w:tc>
          <w:tcPr>
            <w:tcW w:type="dxa" w:w="2351"/>
            <w:vAlign w:val="center"/>
          </w:tcPr>
          <w:p>
            <w:r/>
            <w:r>
              <w:rPr>
                <w:rFonts w:ascii="Arial" w:hAnsi="Arial"/>
                <w:b w:val="0"/>
                <w:sz w:val="20"/>
              </w:rPr>
              <w:t>✓ / Em desenvolvimento</w:t>
            </w:r>
          </w:p>
        </w:tc>
        <w:tc>
          <w:tcPr>
            <w:tcW w:type="dxa" w:w="2351"/>
            <w:vAlign w:val="center"/>
          </w:tcPr>
          <w:p>
            <w:r/>
            <w:r>
              <w:rPr>
                <w:rFonts w:ascii="Arial" w:hAnsi="Arial"/>
                <w:b w:val="0"/>
                <w:sz w:val="20"/>
              </w:rPr>
              <w:t>Tentativa, teste e ajuste.</w:t>
            </w:r>
          </w:p>
        </w:tc>
      </w:tr>
      <w:tr>
        <w:tc>
          <w:tcPr>
            <w:tcW w:type="dxa" w:w="2351"/>
            <w:vAlign w:val="center"/>
          </w:tcPr>
          <w:p>
            <w:r/>
            <w:r>
              <w:rPr>
                <w:rFonts w:ascii="Arial" w:hAnsi="Arial"/>
                <w:b w:val="0"/>
                <w:sz w:val="20"/>
              </w:rPr>
              <w:t>Argumentação</w:t>
            </w:r>
          </w:p>
        </w:tc>
        <w:tc>
          <w:tcPr>
            <w:tcW w:type="dxa" w:w="2351"/>
            <w:vAlign w:val="center"/>
          </w:tcPr>
          <w:p>
            <w:r/>
            <w:r>
              <w:rPr>
                <w:rFonts w:ascii="Arial" w:hAnsi="Arial"/>
                <w:b w:val="0"/>
                <w:sz w:val="20"/>
              </w:rPr>
              <w:t>Explica o raciocínio utilizado.</w:t>
            </w:r>
          </w:p>
        </w:tc>
        <w:tc>
          <w:tcPr>
            <w:tcW w:type="dxa" w:w="2351"/>
            <w:vAlign w:val="center"/>
          </w:tcPr>
          <w:p>
            <w:r/>
            <w:r>
              <w:rPr>
                <w:rFonts w:ascii="Arial" w:hAnsi="Arial"/>
                <w:b w:val="0"/>
                <w:sz w:val="20"/>
              </w:rPr>
              <w:t>✓ / Em desenvolvimento</w:t>
            </w:r>
          </w:p>
        </w:tc>
        <w:tc>
          <w:tcPr>
            <w:tcW w:type="dxa" w:w="2351"/>
            <w:vAlign w:val="center"/>
          </w:tcPr>
          <w:p>
            <w:r/>
            <w:r>
              <w:rPr>
                <w:rFonts w:ascii="Arial" w:hAnsi="Arial"/>
                <w:b w:val="0"/>
                <w:sz w:val="20"/>
              </w:rPr>
              <w:t>Fala, registro ou produção escrita.</w:t>
            </w:r>
          </w:p>
        </w:tc>
      </w:tr>
    </w:tbl>
    <w:p>
      <w:pPr>
        <w:pStyle w:val="Heading1"/>
      </w:pPr>
      <w:r>
        <w:t>16. Ficha rápida de observação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shd w:fill="EAF4F2"/>
          </w:tcPr>
          <w:p>
            <w:r/>
            <w:r>
              <w:rPr>
                <w:rFonts w:ascii="Arial" w:hAnsi="Arial"/>
                <w:b/>
                <w:sz w:val="20"/>
              </w:rPr>
              <w:t>Estudante</w:t>
            </w:r>
          </w:p>
        </w:tc>
        <w:tc>
          <w:tcPr>
            <w:tcW w:type="dxa" w:w="1881"/>
            <w:vAlign w:val="center"/>
            <w:shd w:fill="EAF4F2"/>
          </w:tcPr>
          <w:p>
            <w:r/>
            <w:r>
              <w:rPr>
                <w:rFonts w:ascii="Arial" w:hAnsi="Arial"/>
                <w:b/>
                <w:sz w:val="20"/>
              </w:rPr>
              <w:t>Identifica comandos</w:t>
            </w:r>
          </w:p>
        </w:tc>
        <w:tc>
          <w:tcPr>
            <w:tcW w:type="dxa" w:w="1881"/>
            <w:vAlign w:val="center"/>
            <w:shd w:fill="EAF4F2"/>
          </w:tcPr>
          <w:p>
            <w:r/>
            <w:r>
              <w:rPr>
                <w:rFonts w:ascii="Arial" w:hAnsi="Arial"/>
                <w:b/>
                <w:sz w:val="20"/>
              </w:rPr>
              <w:t>Analisa sequência</w:t>
            </w:r>
          </w:p>
        </w:tc>
        <w:tc>
          <w:tcPr>
            <w:tcW w:type="dxa" w:w="1881"/>
            <w:vAlign w:val="center"/>
            <w:shd w:fill="EAF4F2"/>
          </w:tcPr>
          <w:p>
            <w:r/>
            <w:r>
              <w:rPr>
                <w:rFonts w:ascii="Arial" w:hAnsi="Arial"/>
                <w:b/>
                <w:sz w:val="20"/>
              </w:rPr>
              <w:t>Cria solução</w:t>
            </w:r>
          </w:p>
        </w:tc>
        <w:tc>
          <w:tcPr>
            <w:tcW w:type="dxa" w:w="1881"/>
            <w:vAlign w:val="center"/>
            <w:shd w:fill="EAF4F2"/>
          </w:tcPr>
          <w:p>
            <w:r/>
            <w:r>
              <w:rPr>
                <w:rFonts w:ascii="Arial" w:hAnsi="Arial"/>
                <w:b/>
                <w:sz w:val="20"/>
              </w:rPr>
              <w:t>Explica o raciocínio</w:t>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r>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c>
          <w:tcPr>
            <w:tcW w:type="dxa" w:w="1881"/>
            <w:vAlign w:val="center"/>
          </w:tcPr>
          <w:p>
            <w:r/>
            <w:r>
              <w:rPr>
                <w:rFonts w:ascii="Arial" w:hAnsi="Arial"/>
                <w:b w:val="0"/>
                <w:sz w:val="20"/>
              </w:rPr>
            </w:r>
          </w:p>
        </w:tc>
      </w:tr>
    </w:tbl>
    <w:p>
      <w:pPr>
        <w:pStyle w:val="Heading1"/>
      </w:pPr>
      <w:r>
        <w:t>17. Acessibilidade e usabilidade</w:t>
      </w:r>
    </w:p>
    <w:p>
      <w:pPr>
        <w:pStyle w:val="ListBullet"/>
        <w:spacing w:after="60"/>
      </w:pPr>
      <w:r>
        <w:t>Apresente oralmente as instruções.</w:t>
      </w:r>
    </w:p>
    <w:p>
      <w:pPr>
        <w:pStyle w:val="ListBullet"/>
        <w:spacing w:after="60"/>
      </w:pPr>
      <w:r>
        <w:t>Leia os comandos quando necessário.</w:t>
      </w:r>
    </w:p>
    <w:p>
      <w:pPr>
        <w:pStyle w:val="ListBullet"/>
        <w:spacing w:after="60"/>
      </w:pPr>
      <w:r>
        <w:t>Utilize duplas ou pequenos grupos quando houver poucos dispositivos.</w:t>
      </w:r>
    </w:p>
    <w:p>
      <w:pPr>
        <w:pStyle w:val="ListBullet"/>
        <w:spacing w:after="60"/>
      </w:pPr>
      <w:r>
        <w:t>Observe a clareza dos elementos visuais e a identificação das casas.</w:t>
      </w:r>
    </w:p>
    <w:p>
      <w:pPr>
        <w:pStyle w:val="ListBullet"/>
        <w:spacing w:after="60"/>
      </w:pPr>
      <w:r>
        <w:t>Adapte tempo, forma de registro e mediação às necessidades da turma.</w:t>
      </w:r>
    </w:p>
    <w:p>
      <w:pPr>
        <w:pStyle w:val="ListBullet"/>
        <w:spacing w:after="60"/>
      </w:pPr>
      <w:r>
        <w:t>Permita explicação oral, desenho ou outra forma acessível de demonstrar a solução.</w:t>
      </w:r>
    </w:p>
    <w:p>
      <w:pPr>
        <w:pStyle w:val="Heading1"/>
      </w:pPr>
      <w:r>
        <w:t>18. Uso offline</w:t>
      </w:r>
    </w:p>
    <w:p>
      <w:r>
        <w:t>Após o carregamento inicial, os recursos necessários são armazenados no navegador. A versão publicada apresenta a mensagem: “Pronto para uso offline. Os desafios e arquivos necessários estão salvos neste navegador.”</w:t>
      </w:r>
    </w:p>
    <w:p>
      <w:r>
        <w:t>Para aulas em locais com conectividade limitada, recomenda-se abrir o produto previamente enquanto houver internet, aguardar a indicação de preparação para uso offline e testar o acesso no dispositivo.</w:t>
      </w:r>
    </w:p>
    <w:p>
      <w:pPr>
        <w:pStyle w:val="Heading1"/>
      </w:pPr>
      <w:r>
        <w:t>19. Cuidados culturais</w:t>
      </w:r>
    </w:p>
    <w:p>
      <w:r>
        <w:t>As referências aos jogos de matriz indígena e africana devem ser trabalhadas com contextualização e respeito. O professor deve evitar reduzir uma prática cultural a uma mecânica digital. Sempre que possível, complemente a atividade com informações sobre origem, nomes, modos de jogar, contextos e sentidos culturais, de acordo com fontes e materiais validados pela equipe do projeto.</w:t>
      </w:r>
    </w:p>
    <w:p>
      <w:r>
        <w:t>No desenvolvimento do produto, os conteúdos culturais foram submetidos à revisão da equipe responsável antes da publicação. A versão publicada utiliza representações educativas simplificadas para os desafios digitais.</w:t>
      </w:r>
    </w:p>
    <w:p>
      <w:pPr>
        <w:pStyle w:val="Heading1"/>
      </w:pPr>
      <w:r>
        <w:t>20. Integração com Educação Física</w:t>
      </w:r>
    </w:p>
    <w:p>
      <w:r>
        <w:t>O produto pode ser utilizado como preparação, aprofundamento ou fechamento de experiências corporais com jogos. Depois da atividade digital, o professor pode propor a vivência de um jogo de território ou estratégia em espaço físico, seguida de comparação entre regras, movimentos, decisões e estratégias.</w:t>
      </w:r>
    </w:p>
    <w:p>
      <w:pPr>
        <w:pStyle w:val="ListBullet"/>
        <w:spacing w:after="60"/>
      </w:pPr>
      <w:r>
        <w:t>vivenciar uma versão física do jogo ou de uma adaptação autorizada;</w:t>
      </w:r>
    </w:p>
    <w:p>
      <w:pPr>
        <w:pStyle w:val="ListBullet"/>
        <w:spacing w:after="60"/>
      </w:pPr>
      <w:r>
        <w:t>registrar movimentos por palavras, setas ou comandos;</w:t>
      </w:r>
    </w:p>
    <w:p>
      <w:pPr>
        <w:pStyle w:val="ListBullet"/>
        <w:spacing w:after="60"/>
      </w:pPr>
      <w:r>
        <w:t>transformar uma sequência de movimentos em um algoritmo simples;</w:t>
      </w:r>
    </w:p>
    <w:p>
      <w:pPr>
        <w:pStyle w:val="ListBullet"/>
        <w:spacing w:after="60"/>
      </w:pPr>
      <w:r>
        <w:t>comparar a solução digital com a solução corporal;</w:t>
      </w:r>
    </w:p>
    <w:p>
      <w:pPr>
        <w:pStyle w:val="ListBullet"/>
        <w:spacing w:after="60"/>
      </w:pPr>
      <w:r>
        <w:t>discutir como regras e limites do espaço influenciam as estratégias.</w:t>
      </w:r>
    </w:p>
    <w:p>
      <w:pPr>
        <w:pStyle w:val="Heading1"/>
      </w:pPr>
      <w:r>
        <w:t>21. Integração com Computação</w:t>
      </w:r>
    </w:p>
    <w:p>
      <w:r>
        <w:t>Os desafios favorecem a compreensão inicial de algoritmos como sequências de instruções para alcançar um objetivo. O professor pode ampliar a experiência solicitando que os estudantes criem algoritmos para situações do cotidiano, como organizar materiais, seguir um percurso ou realizar uma rotina.</w:t>
      </w:r>
    </w:p>
    <w:p>
      <w:pPr>
        <w:pStyle w:val="Heading1"/>
      </w:pPr>
      <w:r>
        <w:t>22. Registro da aula</w:t>
      </w:r>
    </w:p>
    <w:p>
      <w:pPr>
        <w:pStyle w:val="ListBullet"/>
        <w:spacing w:after="60"/>
      </w:pPr>
      <w:r>
        <w:t>data e turma;</w:t>
      </w:r>
    </w:p>
    <w:p>
      <w:pPr>
        <w:pStyle w:val="ListBullet"/>
        <w:spacing w:after="60"/>
      </w:pPr>
      <w:r>
        <w:t>níveis realizados;</w:t>
      </w:r>
    </w:p>
    <w:p>
      <w:pPr>
        <w:pStyle w:val="ListBullet"/>
        <w:spacing w:after="60"/>
      </w:pPr>
      <w:r>
        <w:t>tempo aproximado;</w:t>
      </w:r>
    </w:p>
    <w:p>
      <w:pPr>
        <w:pStyle w:val="ListBullet"/>
        <w:spacing w:after="60"/>
      </w:pPr>
      <w:r>
        <w:t>dificuldades observadas;</w:t>
      </w:r>
    </w:p>
    <w:p>
      <w:pPr>
        <w:pStyle w:val="ListBullet"/>
        <w:spacing w:after="60"/>
      </w:pPr>
      <w:r>
        <w:t>estratégias utilizadas;</w:t>
      </w:r>
    </w:p>
    <w:p>
      <w:pPr>
        <w:pStyle w:val="ListBullet"/>
        <w:spacing w:after="60"/>
      </w:pPr>
      <w:r>
        <w:t>exemplos de explicações dos estudantes;</w:t>
      </w:r>
    </w:p>
    <w:p>
      <w:pPr>
        <w:pStyle w:val="ListBullet"/>
        <w:spacing w:after="60"/>
      </w:pPr>
      <w:r>
        <w:t>adaptações realizadas;</w:t>
      </w:r>
    </w:p>
    <w:p>
      <w:pPr>
        <w:pStyle w:val="ListBullet"/>
        <w:spacing w:after="60"/>
      </w:pPr>
      <w:r>
        <w:t>evidências de aprendizagem.</w:t>
      </w:r>
    </w:p>
    <w:p>
      <w:pPr>
        <w:pStyle w:val="Heading1"/>
      </w:pPr>
      <w:r>
        <w:t>23. Produto publicado</w:t>
      </w:r>
    </w:p>
    <w:p>
      <w:r>
        <w:t>A versão pública do produto pode ser acessada em:</w:t>
      </w:r>
    </w:p>
    <w:p>
      <w:pPr>
        <w:jc w:val="center"/>
      </w:pPr>
      <w:r>
        <w:rPr>
          <w:b/>
        </w:rPr>
        <w:t>https://jmmradbb26-arch.github.io/jogar-pensar-programar/</w:t>
      </w:r>
    </w:p>
    <w:p>
      <w:r>
        <w:t>A aplicação foi publicada por meio do GitHub Pages e possui repositório de versionamento no GitHub. A publicação corresponde à versão atual do projeto após os ajustes funcionais realizados.</w:t>
      </w:r>
    </w:p>
    <w:p>
      <w:pPr>
        <w:pStyle w:val="Heading1"/>
      </w:pPr>
      <w:r>
        <w:t>24. Checklist do professor</w:t>
      </w:r>
    </w:p>
    <w:p>
      <w:r>
        <w:t>☐ Acessei o produto antes da aula.</w:t>
      </w:r>
    </w:p>
    <w:p>
      <w:r>
        <w:t>☐ Verifiquei o carregamento dos desafios.</w:t>
      </w:r>
    </w:p>
    <w:p>
      <w:r>
        <w:t>☐ Confirmei a preparação para uso offline, quando necessário.</w:t>
      </w:r>
    </w:p>
    <w:p>
      <w:r>
        <w:t>☐ Expliquei o objetivo da atividade.</w:t>
      </w:r>
    </w:p>
    <w:p>
      <w:r>
        <w:t>☐ Organizei a turma e os dispositivos.</w:t>
      </w:r>
    </w:p>
    <w:p>
      <w:r>
        <w:t>☐ Incentivei os estudantes a explicar suas escolhas.</w:t>
      </w:r>
    </w:p>
    <w:p>
      <w:r>
        <w:t>☐ Observei identificação, análise, criação e revisão.</w:t>
      </w:r>
    </w:p>
    <w:p>
      <w:r>
        <w:t>☐ Registrei dificuldades e estratégias.</w:t>
      </w:r>
    </w:p>
    <w:p>
      <w:r>
        <w:t>☐ Realizei o fechamento da atividade.</w:t>
      </w:r>
    </w:p>
    <w:p>
      <w:pPr>
        <w:pStyle w:val="Heading1"/>
      </w:pPr>
      <w:r>
        <w:t>25. Considerações finais</w:t>
      </w:r>
    </w:p>
    <w:p>
      <w:r>
        <w:t>“Jogar, Pensar e Programar” foi concebido como recurso para aproximar o pensamento computacional de experiências de jogo, estratégia, movimento e resolução de problemas. O professor é elemento central para transformar a interação com a aplicação em experiência de aprendizagem significativa, por meio de perguntas, contextualização, colaboração, reflexão e relação com outros componentes curriculares.</w:t>
      </w:r>
    </w:p>
    <w:p>
      <w:r>
        <w:t>A aplicação pode ser ampliada em futuras versões com novos desafios, outros jogos, recursos de acessibilidade e estratégias de acompanhamento da aprendizagem. Qualquer expansão deve preservar os princípios de revisão pedagógica, técnica, cultural e de acessibilidade adotados no desenvolvimento.</w:t>
      </w:r>
    </w:p>
    <w:p>
      <w:pPr>
        <w:pStyle w:val="Heading1"/>
      </w:pPr>
      <w:r>
        <w:t>26. Referências e documentos orientadores</w:t>
      </w:r>
    </w:p>
    <w:p>
      <w:r>
        <w:t>BRASIL. Ministério da Educação. Base Nacional Comum Curricular – BNCC. Brasília, DF: MEC, 2018.</w:t>
      </w:r>
    </w:p>
    <w:p>
      <w:r>
        <w:t>BRASIL. Lei nº 10.639, de 9 de janeiro de 2003. Altera a Lei nº 9.394/1996 para incluir no currículo oficial da Rede de Ensino a obrigatoriedade da temática História e Cultura Afro-Brasileira.</w:t>
      </w:r>
    </w:p>
    <w:p>
      <w:r>
        <w:t>BRASIL. Conselho Nacional de Saúde. Resolução nº 510, de 7 de abril de 2016. Dispõe sobre normas aplicáveis a pesquisas em Ciências Humanas e Sociais.</w:t>
      </w:r>
    </w:p>
    <w:p>
      <w:r>
        <w:t>ORGANIZAÇÃO INTERNACIONAL DO TRABALHO. Convenção nº 169 sobre Povos Indígenas e Tribais.</w:t>
      </w:r>
    </w:p>
    <w:p>
      <w:r>
        <w:t>Observação: a lista de referências deve ser complementada e ajustada conforme as exigências do programa de pós-graduação e as fontes efetivamente utilizadas na dissertação e no desenvolvimento do produto.</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Jogar, Pensar e Programar — Manual do Professor | PROFEducatec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