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768664563cf4128" /><Relationship Type="http://schemas.openxmlformats.org/package/2006/relationships/metadata/core-properties" Target="/package/services/metadata/core-properties/e181ad5b665a4cfcb14d63bc3127c878.psmdcp" Id="R8d605ff4c7c149cb" /></Relationships>
</file>

<file path=word/document.xml><?xml version="1.0" encoding="utf-8"?>
<w:document xmlns:w="http://schemas.openxmlformats.org/wordprocessingml/2006/main">
  <w:body>
    <w:p>
      <w:pPr>
        <w:spacing w:after="1500"/>
      </w:pPr>
    </w:p>
    <w:p>
      <w:pPr>
        <w:pStyle w:val="Brand"/>
      </w:pPr>
      <w:r>
        <w:t xml:space="preserve">ReelNova</w:t>
      </w:r>
    </w:p>
    <w:p>
      <w:pPr>
        <w:pStyle w:val="Title"/>
      </w:pPr>
      <w:r>
        <w:t xml:space="preserve">生产运维与故障应急手册</w:t>
      </w:r>
    </w:p>
    <w:p>
      <w:pPr>
        <w:pStyle w:val="Subtitle"/>
      </w:pPr>
      <w:r>
        <w:t xml:space="preserve">海外短剧 H5 点播平台</w:t>
      </w:r>
    </w:p>
    <w:p>
      <w:pPr>
        <w:pBdr>
          <w:bottom w:val="single" w:color="2E7D6E" w:sz="18" w:space="8"/>
        </w:pBdr>
        <w:spacing w:before="180" w:after="900"/>
      </w:pPr>
      <w:r>
        <w:t> </w:t>
      </w:r>
    </w:p>
    <w:p>
      <w:pPr>
        <w:pStyle w:val="CoverMeta"/>
      </w:pPr>
      <w:r>
        <w:t xml:space="preserve">版本 V1.0</w:t>
      </w:r>
    </w:p>
    <w:p>
      <w:pPr>
        <w:pStyle w:val="CoverMeta"/>
      </w:pPr>
      <w:r>
        <w:t xml:space="preserve">编制日期 2026-09-10</w:t>
      </w:r>
    </w:p>
    <w:p>
      <w:pPr>
        <w:pStyle w:val="CoverMeta"/>
      </w:pPr>
      <w:r>
        <w:t xml:space="preserve">适用环境：Cloudflare 生产环境</w:t>
      </w:r>
    </w:p>
    <w:p>
      <w:pPr>
        <w:pStyle w:val="Classification"/>
      </w:pPr>
      <w:r>
        <w:t xml:space="preserve">内部使用</w:t>
      </w:r>
    </w:p>
    <w:p>
      <w:r>
        <w:br w:type="page"/>
      </w:r>
    </w:p>
    <w:p>
      <w:pPr>
        <w:pStyle w:val="TocHeading"/>
      </w:pPr>
      <w:r>
        <w:t xml:space="preserve">目录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rFonts w:ascii="Noto Sans CJK SC" w:hAnsi="Noto Sans CJK SC" w:eastAsia="Noto Sans CJK SC" w:cs="Noto Sans CJK SC"/>
          <w:color w:val="6D7E7A"/>
          <w:sz w:val="20"/>
          <w:szCs w:val="20"/>
        </w:rPr>
        <w:t xml:space="preserve">在 Word 中更新域以生成目录</w:t>
      </w:r>
      <w:r>
        <w:fldChar w:fldCharType="end"/>
      </w:r>
    </w:p>
    <w:tbl>
      <w:tblPr>
        <w:tblW w:w="5000" w:type="pct"/>
        <w:tblBorders>
          <w:top w:val="single" w:color="2E7D6E" w:sz="6"/>
          <w:left w:val="single" w:color="2E7D6E" w:sz="14"/>
          <w:bottom w:val="single" w:color="2E7D6E" w:sz="6"/>
          <w:right w:val="nil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9360"/>
      </w:tblGrid>
      <w:tr>
        <w:trPr>
          <w:cantSplit/>
        </w:trPr>
        <w:tc>
          <w:tcPr>
            <w:shd w:val="clear" w:color="auto" w:fill="F3F5F7"/>
          </w:tcPr>
          <w:p>
            <w:pPr>
              <w:spacing w:after="0" w:line="260" w:lineRule="auto"/>
            </w:pPr>
            <w:r>
              <w:rPr>
                <w:rFonts w:ascii="Noto Sans CJK SC" w:hAnsi="Noto Sans CJK SC" w:eastAsia="Noto Sans CJK SC" w:cs="Noto Sans CJK SC"/>
                <w:b/>
                <w:color w:val="174C43"/>
                <w:sz w:val="21"/>
                <w:szCs w:val="21"/>
              </w:rPr>
              <w:t xml:space="preserve">使用提示  </w:t>
            </w:r>
            <w:r>
              <w:rPr>
                <w:rFonts w:ascii="Noto Sans CJK SC" w:hAnsi="Noto Sans CJK SC" w:eastAsia="Noto Sans CJK SC" w:cs="Noto Sans CJK SC"/>
                <w:color w:val="263238"/>
                <w:sz w:val="20"/>
                <w:szCs w:val="20"/>
              </w:rPr>
              <w:t xml:space="preserve">首次打开文档后，在目录区域选择“更新域/更新整个目录”。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文档说明</w:t>
      </w:r>
    </w:p>
    <w:tbl>
      <w:tblPr>
        <w:tblW w:w="5000" w:type="pct"/>
        <w:tblBorders>
          <w:top w:val="single" w:color="2E7D6E" w:sz="6"/>
          <w:left w:val="single" w:color="2E7D6E" w:sz="14"/>
          <w:bottom w:val="single" w:color="2E7D6E" w:sz="6"/>
          <w:right w:val="nil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9360"/>
      </w:tblGrid>
      <w:tr>
        <w:trPr>
          <w:cantSplit/>
        </w:trPr>
        <w:tc>
          <w:tcPr>
            <w:shd w:val="clear" w:color="auto" w:fill="FFF4CE"/>
          </w:tcPr>
          <w:p>
            <w:pPr>
              <w:spacing w:after="0" w:line="260" w:lineRule="auto"/>
            </w:pPr>
            <w:r>
              <w:rPr>
                <w:rFonts w:ascii="Noto Sans CJK SC" w:hAnsi="Noto Sans CJK SC" w:eastAsia="Noto Sans CJK SC" w:cs="Noto Sans CJK SC"/>
                <w:b/>
                <w:color w:val="174C43"/>
                <w:sz w:val="21"/>
                <w:szCs w:val="21"/>
              </w:rPr>
              <w:t xml:space="preserve">适用边界  </w:t>
            </w:r>
            <w:r>
              <w:rPr>
                <w:rFonts w:ascii="Noto Sans CJK SC" w:hAnsi="Noto Sans CJK SC" w:eastAsia="Noto Sans CJK SC" w:cs="Noto Sans CJK SC"/>
                <w:color w:val="263238"/>
                <w:sz w:val="20"/>
                <w:szCs w:val="20"/>
              </w:rPr>
              <w:t xml:space="preserve">本手册依据当前仓库和 2026-08-20 项目接入记录编制。联系人、值班渠道、审批人、备份保管位置等组织信息必须在上线交接时补齐；未填写项不视为已落实。</w:t>
            </w:r>
          </w:p>
        </w:tc>
      </w:tr>
    </w:tbl>
    <w:p>
      <w:pPr>
        <w:spacing w:after="80"/>
      </w:pPr>
    </w:p>
    <w:p>
      <w:pPr>
        <w:pStyle w:val="Normal"/>
      </w:pPr>
      <w:r>
        <w:t xml:space="preserve">本手册用于生产发布、日常巡检、告警响应、数据恢复、版本回滚和重大故障处置。所有命令均应从项目根目录执行；涉及生产写入、D1 Time Travel、对象覆盖、版本回滚和 Secret 变更的操作，必须先获得当班负责人批准并保留操作证据。</w:t>
      </w:r>
    </w:p>
    <w:tbl>
      <w:tblPr>
        <w:tblW w:w="5000" w:type="pct"/>
        <w:tblBorders>
          <w:top w:val="single" w:color="8AA8A1" w:sz="6"/>
          <w:left w:val="single" w:color="CBD8D5" w:sz="4"/>
          <w:bottom w:val="single" w:color="8AA8A1" w:sz="6"/>
          <w:right w:val="single" w:color="CBD8D5" w:sz="4"/>
          <w:insideH w:val="single" w:color="CBD8D5" w:sz="4"/>
          <w:insideV w:val="single" w:color="CBD8D5" w:sz="4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600"/>
        <w:gridCol w:w="7760"/>
      </w:tblGrid>
      <w:tr>
        <w:trPr>
          <w:cantSplit/>
          <w:tblHeader/>
        </w:trPr>
        <w:tc>
          <w:tcPr>
            <w:tcW w:w="160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w="776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系统</w:t>
            </w:r>
          </w:p>
        </w:tc>
        <w:tc>
          <w:tcPr>
            <w:tcW w:w="776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ReelNova 海外短剧 H5 点播平台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生产入口</w:t>
            </w:r>
          </w:p>
        </w:tc>
        <w:tc>
          <w:tcPr>
            <w:tcW w:w="776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用户端 iseedrama.com；后台 admin.iseedrama.com；媒体 media.iseedrama.com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核心平台</w:t>
            </w:r>
          </w:p>
        </w:tc>
        <w:tc>
          <w:tcPr>
            <w:tcW w:w="776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Nuxt 3；Cloudflare Pages/Workers、D1、私有 R2、Stream；PayPal Checkout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数据资源</w:t>
            </w:r>
          </w:p>
        </w:tc>
        <w:tc>
          <w:tcPr>
            <w:tcW w:w="776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D1：reelnova-production；R2：reelnova-media-private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时区</w:t>
            </w:r>
          </w:p>
        </w:tc>
        <w:tc>
          <w:tcPr>
            <w:tcW w:w="776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告警与事件统一记录 UTC；交接记录可同时注明 Asia/Shanghai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文档状态</w:t>
            </w:r>
          </w:p>
        </w:tc>
        <w:tc>
          <w:tcPr>
            <w:tcW w:w="776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V1.0 基线；阈值、RPO/RTO 和责任人须在上线评审确认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1. 责任分工与通信</w:t>
      </w:r>
    </w:p>
    <w:p>
      <w:pPr>
        <w:pStyle w:val="Heading2"/>
      </w:pPr>
      <w:r>
        <w:t xml:space="preserve">1.1 角色与职责</w:t>
      </w:r>
    </w:p>
    <w:tbl>
      <w:tblPr>
        <w:tblW w:w="5000" w:type="pct"/>
        <w:tblBorders>
          <w:top w:val="single" w:color="8AA8A1" w:sz="6"/>
          <w:left w:val="single" w:color="CBD8D5" w:sz="4"/>
          <w:bottom w:val="single" w:color="8AA8A1" w:sz="6"/>
          <w:right w:val="single" w:color="CBD8D5" w:sz="4"/>
          <w:insideH w:val="single" w:color="CBD8D5" w:sz="4"/>
          <w:insideV w:val="single" w:color="CBD8D5" w:sz="4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600"/>
        <w:gridCol w:w="4700"/>
        <w:gridCol w:w="3060"/>
      </w:tblGrid>
      <w:tr>
        <w:trPr>
          <w:cantSplit/>
          <w:tblHeader/>
        </w:trPr>
        <w:tc>
          <w:tcPr>
            <w:tcW w:w="160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w="470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主要职责</w:t>
            </w:r>
          </w:p>
        </w:tc>
        <w:tc>
          <w:tcPr>
            <w:tcW w:w="306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交接填写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事件指挥 IC</w:t>
            </w:r>
          </w:p>
        </w:tc>
        <w:tc>
          <w:tcPr>
            <w:tcW w:w="47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定级、止损决策、资源协调、关闭事件</w:t>
            </w:r>
          </w:p>
        </w:tc>
        <w:tc>
          <w:tcPr>
            <w:tcW w:w="306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姓名/电话：待填写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运维/发布负责人</w:t>
            </w:r>
          </w:p>
        </w:tc>
        <w:tc>
          <w:tcPr>
            <w:tcW w:w="47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Cloudflare 发布、回滚、D1/R2 恢复、证据留存</w:t>
            </w:r>
          </w:p>
        </w:tc>
        <w:tc>
          <w:tcPr>
            <w:tcW w:w="306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姓名/电话：待填写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应用负责人</w:t>
            </w:r>
          </w:p>
        </w:tc>
        <w:tc>
          <w:tcPr>
            <w:tcW w:w="47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Nuxt/API 定位、热修复、数据兼容评估</w:t>
            </w:r>
          </w:p>
        </w:tc>
        <w:tc>
          <w:tcPr>
            <w:tcW w:w="306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姓名/电话：待填写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支付负责人</w:t>
            </w:r>
          </w:p>
        </w:tc>
        <w:tc>
          <w:tcPr>
            <w:tcW w:w="47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PayPal 状态核验、对账、商户平台协调</w:t>
            </w:r>
          </w:p>
        </w:tc>
        <w:tc>
          <w:tcPr>
            <w:tcW w:w="306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姓名/电话：待填写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业务/客服负责人</w:t>
            </w:r>
          </w:p>
        </w:tc>
        <w:tc>
          <w:tcPr>
            <w:tcW w:w="47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用户通知、补偿口径、内容下架与恢复确认</w:t>
            </w:r>
          </w:p>
        </w:tc>
        <w:tc>
          <w:tcPr>
            <w:tcW w:w="306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姓名/电话：待填写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安全负责人</w:t>
            </w:r>
          </w:p>
        </w:tc>
        <w:tc>
          <w:tcPr>
            <w:tcW w:w="47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凭据泄露、越权、恶意流量和取证处置</w:t>
            </w:r>
          </w:p>
        </w:tc>
        <w:tc>
          <w:tcPr>
            <w:tcW w:w="306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姓名/电话：待填写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1.2 通信与升级</w:t>
      </w:r>
    </w:p>
    <w:p>
      <w:pPr>
        <w:pStyle w:val="Bullet"/>
      </w:pPr>
      <w:r>
        <w:t xml:space="preserve">• 主告警渠道：待填写（建议电话 + 即时消息双通道）；P0/P1 不得只发邮件。</w:t>
      </w:r>
    </w:p>
    <w:p>
      <w:pPr>
        <w:pStyle w:val="Bullet"/>
      </w:pPr>
      <w:r>
        <w:t xml:space="preserve">• 事件频道/会议：待填写；事件编号格式建议 INC-YYYYMMDD-NNN。</w:t>
      </w:r>
    </w:p>
    <w:p>
      <w:pPr>
        <w:pStyle w:val="Bullet"/>
      </w:pPr>
      <w:r>
        <w:t xml:space="preserve">• Cloudflare、PayPal、域名注册商支持入口及合同级别：待填写。</w:t>
      </w:r>
    </w:p>
    <w:p>
      <w:pPr>
        <w:pStyle w:val="Bullet"/>
      </w:pPr>
      <w:r>
        <w:t xml:space="preserve">• 对外状态页、客服公告审批人与模板：待填写。</w:t>
      </w:r>
    </w:p>
    <w:p>
      <w:pPr>
        <w:pStyle w:val="Heading1"/>
      </w:pPr>
      <w:r>
        <w:t xml:space="preserve">2. 服务地图与关键依赖</w:t>
      </w:r>
    </w:p>
    <w:tbl>
      <w:tblPr>
        <w:tblW w:w="5000" w:type="pct"/>
        <w:tblBorders>
          <w:top w:val="single" w:color="8AA8A1" w:sz="6"/>
          <w:left w:val="single" w:color="CBD8D5" w:sz="4"/>
          <w:bottom w:val="single" w:color="8AA8A1" w:sz="6"/>
          <w:right w:val="single" w:color="CBD8D5" w:sz="4"/>
          <w:insideH w:val="single" w:color="CBD8D5" w:sz="4"/>
          <w:insideV w:val="single" w:color="CBD8D5" w:sz="4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450"/>
        <w:gridCol w:w="2500"/>
        <w:gridCol w:w="2500"/>
        <w:gridCol w:w="2910"/>
      </w:tblGrid>
      <w:tr>
        <w:trPr>
          <w:cantSplit/>
          <w:tblHeader/>
        </w:trPr>
        <w:tc>
          <w:tcPr>
            <w:tcW w:w="145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链路</w:t>
            </w:r>
          </w:p>
        </w:tc>
        <w:tc>
          <w:tcPr>
            <w:tcW w:w="250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依赖</w:t>
            </w:r>
          </w:p>
        </w:tc>
        <w:tc>
          <w:tcPr>
            <w:tcW w:w="250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失败表现</w:t>
            </w:r>
          </w:p>
        </w:tc>
        <w:tc>
          <w:tcPr>
            <w:tcW w:w="291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主要检查点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用户浏览/API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Nuxt 部署、D1、DNS/TLS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页面/API 5xx、内容不可用</w:t>
            </w:r>
          </w:p>
        </w:tc>
        <w:tc>
          <w:tcPr>
            <w:tcW w:w="291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Cloudflare Analytics、公共探测、/api/home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后台</w:t>
            </w:r>
          </w:p>
        </w:tc>
        <w:tc>
          <w:tcPr>
            <w:tcW w:w="25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Nuxt、D1、管理员会话、Cloudflare Access</w:t>
            </w:r>
          </w:p>
        </w:tc>
        <w:tc>
          <w:tcPr>
            <w:tcW w:w="25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登录失败、后台数据读取失败</w:t>
            </w:r>
          </w:p>
        </w:tc>
        <w:tc>
          <w:tcPr>
            <w:tcW w:w="291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/admin/system、Access 日志、D1 查询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支付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PayPal Live API/Webhook、D1、定时对账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无法下单、处理中、权益未发放</w:t>
            </w:r>
          </w:p>
        </w:tc>
        <w:tc>
          <w:tcPr>
            <w:tcW w:w="291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订单、Webhook 失败、reconcile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媒体上传</w:t>
            </w:r>
          </w:p>
        </w:tc>
        <w:tc>
          <w:tcPr>
            <w:tcW w:w="25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媒体 Worker、私有 R2、Stream API、D1</w:t>
            </w:r>
          </w:p>
        </w:tc>
        <w:tc>
          <w:tcPr>
            <w:tcW w:w="25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分片失败、转码卡住</w:t>
            </w:r>
          </w:p>
        </w:tc>
        <w:tc>
          <w:tcPr>
            <w:tcW w:w="291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Worker 日志、上传会话、Stream 状态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播放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用户会话、D1 权益、Stream 签名播放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403/503、黑屏、频繁缓冲</w:t>
            </w:r>
          </w:p>
        </w:tc>
        <w:tc>
          <w:tcPr>
            <w:tcW w:w="291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playback_sessions、安全事件、Stream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域名</w:t>
            </w:r>
          </w:p>
        </w:tc>
        <w:tc>
          <w:tcPr>
            <w:tcW w:w="25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Cloudflare DNS/TLS/Redirect Rules</w:t>
            </w:r>
          </w:p>
        </w:tc>
        <w:tc>
          <w:tcPr>
            <w:tcW w:w="25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无法访问、证书错误、www 跳转异常</w:t>
            </w:r>
          </w:p>
        </w:tc>
        <w:tc>
          <w:tcPr>
            <w:tcW w:w="291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npm run check:domains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3. 监控与告警</w:t>
      </w:r>
    </w:p>
    <w:tbl>
      <w:tblPr>
        <w:tblW w:w="5000" w:type="pct"/>
        <w:tblBorders>
          <w:top w:val="single" w:color="2E7D6E" w:sz="6"/>
          <w:left w:val="single" w:color="2E7D6E" w:sz="14"/>
          <w:bottom w:val="single" w:color="2E7D6E" w:sz="6"/>
          <w:right w:val="nil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9360"/>
      </w:tblGrid>
      <w:tr>
        <w:trPr>
          <w:cantSplit/>
        </w:trPr>
        <w:tc>
          <w:tcPr>
            <w:shd w:val="clear" w:color="auto" w:fill="FFF4CE"/>
          </w:tcPr>
          <w:p>
            <w:pPr>
              <w:spacing w:after="0" w:line="260" w:lineRule="auto"/>
            </w:pPr>
            <w:r>
              <w:rPr>
                <w:rFonts w:ascii="Noto Sans CJK SC" w:hAnsi="Noto Sans CJK SC" w:eastAsia="Noto Sans CJK SC" w:cs="Noto Sans CJK SC"/>
                <w:b/>
                <w:color w:val="174C43"/>
                <w:sz w:val="21"/>
                <w:szCs w:val="21"/>
              </w:rPr>
              <w:t xml:space="preserve">落地要求  </w:t>
            </w:r>
            <w:r>
              <w:rPr>
                <w:rFonts w:ascii="Noto Sans CJK SC" w:hAnsi="Noto Sans CJK SC" w:eastAsia="Noto Sans CJK SC" w:cs="Noto Sans CJK SC"/>
                <w:color w:val="263238"/>
                <w:sz w:val="20"/>
                <w:szCs w:val="20"/>
              </w:rPr>
              <w:t xml:space="preserve">仓库已有连接状态页和生产检查脚本，但外部合成监控、Cloudflare Notifications、日志告警与通知路由仍须在生产账户中配置。以下阈值是上线初始值，运行两周后应按基线调整。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3.1 告警分级</w:t>
      </w:r>
    </w:p>
    <w:tbl>
      <w:tblPr>
        <w:tblW w:w="5000" w:type="pct"/>
        <w:tblBorders>
          <w:top w:val="single" w:color="8AA8A1" w:sz="6"/>
          <w:left w:val="single" w:color="CBD8D5" w:sz="4"/>
          <w:bottom w:val="single" w:color="8AA8A1" w:sz="6"/>
          <w:right w:val="single" w:color="CBD8D5" w:sz="4"/>
          <w:insideH w:val="single" w:color="CBD8D5" w:sz="4"/>
          <w:insideV w:val="single" w:color="CBD8D5" w:sz="4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900"/>
        <w:gridCol w:w="3900"/>
        <w:gridCol w:w="2100"/>
        <w:gridCol w:w="2460"/>
      </w:tblGrid>
      <w:tr>
        <w:trPr>
          <w:cantSplit/>
          <w:tblHeader/>
        </w:trPr>
        <w:tc>
          <w:tcPr>
            <w:tcW w:w="90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级别</w:t>
            </w:r>
          </w:p>
        </w:tc>
        <w:tc>
          <w:tcPr>
            <w:tcW w:w="390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判定示例</w:t>
            </w:r>
          </w:p>
        </w:tc>
        <w:tc>
          <w:tcPr>
            <w:tcW w:w="210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响应/升级目标</w:t>
            </w:r>
          </w:p>
        </w:tc>
        <w:tc>
          <w:tcPr>
            <w:tcW w:w="246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处理原则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P0</w:t>
            </w:r>
          </w:p>
        </w:tc>
        <w:tc>
          <w:tcPr>
            <w:tcW w:w="39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全站不可用；错误发放/撤销权益；支付重复扣款；大规模数据或凭据泄露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5 分钟响应；10 分钟电话升级；持续指挥</w:t>
            </w:r>
          </w:p>
        </w:tc>
        <w:tc>
          <w:tcPr>
            <w:tcW w:w="246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立即止损，可暂停发布、支付或上传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P1</w:t>
            </w:r>
          </w:p>
        </w:tc>
        <w:tc>
          <w:tcPr>
            <w:tcW w:w="39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支付或播放主链路不可用；D1 持续失败；管理面被锁死；核心域名/TLS 故障</w:t>
            </w:r>
          </w:p>
        </w:tc>
        <w:tc>
          <w:tcPr>
            <w:tcW w:w="21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10 分钟响应；20 分钟升级</w:t>
            </w:r>
          </w:p>
        </w:tc>
        <w:tc>
          <w:tcPr>
            <w:tcW w:w="246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先恢复服务，再查根因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P2</w:t>
            </w:r>
          </w:p>
        </w:tc>
        <w:tc>
          <w:tcPr>
            <w:tcW w:w="39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局部功能异常、失败率升高、转码积压、备份失败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30 分钟响应；2 小时内方案</w:t>
            </w:r>
          </w:p>
        </w:tc>
        <w:tc>
          <w:tcPr>
            <w:tcW w:w="246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限制影响，工作时段修复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P3</w:t>
            </w:r>
          </w:p>
        </w:tc>
        <w:tc>
          <w:tcPr>
            <w:tcW w:w="39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容量趋势、单用户问题、非紧急配置漂移</w:t>
            </w:r>
          </w:p>
        </w:tc>
        <w:tc>
          <w:tcPr>
            <w:tcW w:w="21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1 个工作日内受理</w:t>
            </w:r>
          </w:p>
        </w:tc>
        <w:tc>
          <w:tcPr>
            <w:tcW w:w="246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纳入缺陷或容量计划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 核心监控项与初始阈值</w:t>
      </w:r>
    </w:p>
    <w:tbl>
      <w:tblPr>
        <w:tblW w:w="5000" w:type="pct"/>
        <w:tblBorders>
          <w:top w:val="single" w:color="8AA8A1" w:sz="6"/>
          <w:left w:val="single" w:color="CBD8D5" w:sz="4"/>
          <w:bottom w:val="single" w:color="8AA8A1" w:sz="6"/>
          <w:right w:val="single" w:color="CBD8D5" w:sz="4"/>
          <w:insideH w:val="single" w:color="CBD8D5" w:sz="4"/>
          <w:insideV w:val="single" w:color="CBD8D5" w:sz="4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300"/>
        <w:gridCol w:w="2800"/>
        <w:gridCol w:w="4000"/>
        <w:gridCol w:w="1260"/>
      </w:tblGrid>
      <w:tr>
        <w:trPr>
          <w:cantSplit/>
          <w:tblHeader/>
        </w:trPr>
        <w:tc>
          <w:tcPr>
            <w:tcW w:w="130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对象</w:t>
            </w:r>
          </w:p>
        </w:tc>
        <w:tc>
          <w:tcPr>
            <w:tcW w:w="280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指标/探测</w:t>
            </w:r>
          </w:p>
        </w:tc>
        <w:tc>
          <w:tcPr>
            <w:tcW w:w="400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初始告警条件</w:t>
            </w:r>
          </w:p>
        </w:tc>
        <w:tc>
          <w:tcPr>
            <w:tcW w:w="126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级别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公网可用性</w:t>
            </w:r>
          </w:p>
        </w:tc>
        <w:tc>
          <w:tcPr>
            <w:tcW w:w="28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iseedrama.com、admin、media 的 DNS/TLS/HTTP</w:t>
            </w:r>
          </w:p>
        </w:tc>
        <w:tc>
          <w:tcPr>
            <w:tcW w:w="40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连续 3 次失败或 5 分钟可用率 &lt; 99%</w:t>
            </w:r>
          </w:p>
        </w:tc>
        <w:tc>
          <w:tcPr>
            <w:tcW w:w="126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应用/API</w:t>
            </w:r>
          </w:p>
        </w:tc>
        <w:tc>
          <w:tcPr>
            <w:tcW w:w="28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5xx 比例与 p95 延迟</w:t>
            </w:r>
          </w:p>
        </w:tc>
        <w:tc>
          <w:tcPr>
            <w:tcW w:w="40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5 分钟 5xx &gt; 2% 或 p95 &gt; 2 秒；10 分钟持续</w:t>
            </w:r>
          </w:p>
        </w:tc>
        <w:tc>
          <w:tcPr>
            <w:tcW w:w="126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P1/P2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D1</w:t>
            </w:r>
          </w:p>
        </w:tc>
        <w:tc>
          <w:tcPr>
            <w:tcW w:w="28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查询错误、超时、容量与异常写入</w:t>
            </w:r>
          </w:p>
        </w:tc>
        <w:tc>
          <w:tcPr>
            <w:tcW w:w="40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5 分钟错误 &gt; 1%；无法读取核心表；容量 &gt; 80%</w:t>
            </w:r>
          </w:p>
        </w:tc>
        <w:tc>
          <w:tcPr>
            <w:tcW w:w="126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P1/P2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PayPal</w:t>
            </w:r>
          </w:p>
        </w:tc>
        <w:tc>
          <w:tcPr>
            <w:tcW w:w="28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下单/捕获失败、pending/processing 年龄</w:t>
            </w:r>
          </w:p>
        </w:tc>
        <w:tc>
          <w:tcPr>
            <w:tcW w:w="40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5 分钟失败 &gt; 3%；订单 15 分钟未收敛；失败 Webhook &gt; 0</w:t>
            </w:r>
          </w:p>
        </w:tc>
        <w:tc>
          <w:tcPr>
            <w:tcW w:w="126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P1/P2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权益</w:t>
            </w:r>
          </w:p>
        </w:tc>
        <w:tc>
          <w:tcPr>
            <w:tcW w:w="28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已付款无权益、退款后仍可播放、重复开放订单</w:t>
            </w:r>
          </w:p>
        </w:tc>
        <w:tc>
          <w:tcPr>
            <w:tcW w:w="40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任一一致性检查命中</w:t>
            </w:r>
          </w:p>
        </w:tc>
        <w:tc>
          <w:tcPr>
            <w:tcW w:w="126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P0/P1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上传/R2</w:t>
            </w:r>
          </w:p>
        </w:tc>
        <w:tc>
          <w:tcPr>
            <w:tcW w:w="28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分片错误、过期 multipart、对象写入</w:t>
            </w:r>
          </w:p>
        </w:tc>
        <w:tc>
          <w:tcPr>
            <w:tcW w:w="40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10 分钟失败 &gt; 5%；过期会话未被定时任务清理</w:t>
            </w:r>
          </w:p>
        </w:tc>
        <w:tc>
          <w:tcPr>
            <w:tcW w:w="126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Stream</w:t>
            </w:r>
          </w:p>
        </w:tc>
        <w:tc>
          <w:tcPr>
            <w:tcW w:w="28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转码失败、ready 时延、Webhook 验签</w:t>
            </w:r>
          </w:p>
        </w:tc>
        <w:tc>
          <w:tcPr>
            <w:tcW w:w="40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失败任务 &gt; 0；95% 任务 30 分钟未 ready；验签连续失败</w:t>
            </w:r>
          </w:p>
        </w:tc>
        <w:tc>
          <w:tcPr>
            <w:tcW w:w="126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P1/P2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播放</w:t>
            </w:r>
          </w:p>
        </w:tc>
        <w:tc>
          <w:tcPr>
            <w:tcW w:w="28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授权错误、首帧/缓冲、异常设备/限流事件</w:t>
            </w:r>
          </w:p>
        </w:tc>
        <w:tc>
          <w:tcPr>
            <w:tcW w:w="40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5 分钟播放失败 &gt; 3%；安全事件突增 3 倍</w:t>
            </w:r>
          </w:p>
        </w:tc>
        <w:tc>
          <w:tcPr>
            <w:tcW w:w="126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P1/P2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安全</w:t>
            </w:r>
          </w:p>
        </w:tc>
        <w:tc>
          <w:tcPr>
            <w:tcW w:w="28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管理员登录失败、Access 拒绝、Secret/API Token 异常</w:t>
            </w:r>
          </w:p>
        </w:tc>
        <w:tc>
          <w:tcPr>
            <w:tcW w:w="40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高权限账号异常成功登录；失败量突增；供应商泄露通知</w:t>
            </w:r>
          </w:p>
        </w:tc>
        <w:tc>
          <w:tcPr>
            <w:tcW w:w="126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P0/P1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备份</w:t>
            </w:r>
          </w:p>
        </w:tc>
        <w:tc>
          <w:tcPr>
            <w:tcW w:w="28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D1 导出、R2 副本/源文件校验</w:t>
            </w:r>
          </w:p>
        </w:tc>
        <w:tc>
          <w:tcPr>
            <w:tcW w:w="40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计划任务失败或超过 26 小时无成功记录</w:t>
            </w:r>
          </w:p>
        </w:tc>
        <w:tc>
          <w:tcPr>
            <w:tcW w:w="126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P2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3.3 仪表盘与日志</w:t>
      </w:r>
    </w:p>
    <w:p>
      <w:pPr>
        <w:pStyle w:val="Bullet"/>
      </w:pPr>
      <w:r>
        <w:t xml:space="preserve">• Cloudflare：Pages/Workers 请求、异常、CPU、Tail 日志；D1 查询与容量；R2 请求/容量；Stream 视频状态；DNS/TLS 和安全事件。</w:t>
      </w:r>
    </w:p>
    <w:p>
      <w:pPr>
        <w:pStyle w:val="Bullet"/>
      </w:pPr>
      <w:r>
        <w:t xml:space="preserve">• 应用后台：/admin/system 检查 D1、PayPal、媒体 Worker、Stream Webhook 和播放签名；后台待处理、订单、审计与对账页面辅助定位。</w:t>
      </w:r>
    </w:p>
    <w:p>
      <w:pPr>
        <w:pStyle w:val="Bullet"/>
      </w:pPr>
      <w:r>
        <w:t xml:space="preserve">• 日志必须包含时间、requestId、部署版本、路由、状态码和脱敏后的业务标识；不得记录 Cookie、Authorization、PayPal Secret、完整个人资料或原始播放签名。</w:t>
      </w:r>
    </w:p>
    <w:p>
      <w:pPr>
        <w:pStyle w:val="Bullet"/>
      </w:pPr>
      <w:r>
        <w:t xml:space="preserve">• 建议日志保留 30 天，审计/支付证据按法务和财务要求延长；生产值班必须能查询 Cloudflare 与 PayPal 日志。</w:t>
      </w:r>
    </w:p>
    <w:p>
      <w:pPr>
        <w:pStyle w:val="Heading2"/>
      </w:pPr>
      <w:r>
        <w:t xml:space="preserve">3.4 日常巡检</w:t>
      </w:r>
    </w:p>
    <w:tbl>
      <w:tblPr>
        <w:tblW w:w="5000" w:type="pct"/>
        <w:tblBorders>
          <w:top w:val="single" w:color="8AA8A1" w:sz="6"/>
          <w:left w:val="single" w:color="CBD8D5" w:sz="4"/>
          <w:bottom w:val="single" w:color="8AA8A1" w:sz="6"/>
          <w:right w:val="single" w:color="CBD8D5" w:sz="4"/>
          <w:insideH w:val="single" w:color="CBD8D5" w:sz="4"/>
          <w:insideV w:val="single" w:color="CBD8D5" w:sz="4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300"/>
        <w:gridCol w:w="5600"/>
        <w:gridCol w:w="2460"/>
      </w:tblGrid>
      <w:tr>
        <w:trPr>
          <w:cantSplit/>
          <w:tblHeader/>
        </w:trPr>
        <w:tc>
          <w:tcPr>
            <w:tcW w:w="130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频率</w:t>
            </w:r>
          </w:p>
        </w:tc>
        <w:tc>
          <w:tcPr>
            <w:tcW w:w="560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检查内容</w:t>
            </w:r>
          </w:p>
        </w:tc>
        <w:tc>
          <w:tcPr>
            <w:tcW w:w="246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证据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每班/每日</w:t>
            </w:r>
          </w:p>
        </w:tc>
        <w:tc>
          <w:tcPr>
            <w:tcW w:w="56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公网探测、5xx、D1、PayPal/Webhook、Stream 失败、备份结果、安全告警</w:t>
            </w:r>
          </w:p>
        </w:tc>
        <w:tc>
          <w:tcPr>
            <w:tcW w:w="246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值班记录和告警链接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每周</w:t>
            </w:r>
          </w:p>
        </w:tc>
        <w:tc>
          <w:tcPr>
            <w:tcW w:w="56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未收敛订单、退款、转码积压、D1/R2 容量、管理员与 Token 变更</w:t>
            </w:r>
          </w:p>
        </w:tc>
        <w:tc>
          <w:tcPr>
            <w:tcW w:w="246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周巡检记录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每月</w:t>
            </w:r>
          </w:p>
        </w:tc>
        <w:tc>
          <w:tcPr>
            <w:tcW w:w="56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恢复抽样、权限复核、告警路由测试、证书/域名、容量趋势</w:t>
            </w:r>
          </w:p>
        </w:tc>
        <w:tc>
          <w:tcPr>
            <w:tcW w:w="246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演练和权限复核记录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每季度</w:t>
            </w:r>
          </w:p>
        </w:tc>
        <w:tc>
          <w:tcPr>
            <w:tcW w:w="56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完整 D1/R2 恢复演练、发布回滚演练、应急通讯录演练</w:t>
            </w:r>
          </w:p>
        </w:tc>
        <w:tc>
          <w:tcPr>
            <w:tcW w:w="246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演练报告与改进项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4. 备份、恢复与演练</w:t>
      </w:r>
    </w:p>
    <w:tbl>
      <w:tblPr>
        <w:tblW w:w="5000" w:type="pct"/>
        <w:tblBorders>
          <w:top w:val="single" w:color="2E7D6E" w:sz="6"/>
          <w:left w:val="single" w:color="2E7D6E" w:sz="14"/>
          <w:bottom w:val="single" w:color="2E7D6E" w:sz="6"/>
          <w:right w:val="nil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9360"/>
      </w:tblGrid>
      <w:tr>
        <w:trPr>
          <w:cantSplit/>
        </w:trPr>
        <w:tc>
          <w:tcPr>
            <w:shd w:val="clear" w:color="auto" w:fill="EAF3F1"/>
          </w:tcPr>
          <w:p>
            <w:pPr>
              <w:spacing w:after="0" w:line="260" w:lineRule="auto"/>
            </w:pPr>
            <w:r>
              <w:rPr>
                <w:rFonts w:ascii="Noto Sans CJK SC" w:hAnsi="Noto Sans CJK SC" w:eastAsia="Noto Sans CJK SC" w:cs="Noto Sans CJK SC"/>
                <w:b/>
                <w:color w:val="174C43"/>
                <w:sz w:val="21"/>
                <w:szCs w:val="21"/>
              </w:rPr>
              <w:t xml:space="preserve">恢复目标（待批准）  </w:t>
            </w:r>
            <w:r>
              <w:rPr>
                <w:rFonts w:ascii="Noto Sans CJK SC" w:hAnsi="Noto Sans CJK SC" w:eastAsia="Noto Sans CJK SC" w:cs="Noto Sans CJK SC"/>
                <w:color w:val="263238"/>
                <w:sz w:val="20"/>
                <w:szCs w:val="20"/>
              </w:rPr>
              <w:t xml:space="preserve">建议初始目标：D1 业务数据 RPO 15 分钟、RTO 60 分钟；R2 原片 RPO 24 小时、RTO 4 小时；Stream 派生媒体可由私有 R2 原片重新摄取，不作为唯一备份。Cloudflare 实际保留能力和合同 SLA 以生产账户为准。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4.1 备份策略</w:t>
      </w:r>
    </w:p>
    <w:tbl>
      <w:tblPr>
        <w:tblW w:w="5000" w:type="pct"/>
        <w:tblBorders>
          <w:top w:val="single" w:color="8AA8A1" w:sz="6"/>
          <w:left w:val="single" w:color="CBD8D5" w:sz="4"/>
          <w:bottom w:val="single" w:color="8AA8A1" w:sz="6"/>
          <w:right w:val="single" w:color="CBD8D5" w:sz="4"/>
          <w:insideH w:val="single" w:color="CBD8D5" w:sz="4"/>
          <w:insideV w:val="single" w:color="CBD8D5" w:sz="4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200"/>
        <w:gridCol w:w="3450"/>
        <w:gridCol w:w="2650"/>
        <w:gridCol w:w="2060"/>
      </w:tblGrid>
      <w:tr>
        <w:trPr>
          <w:cantSplit/>
          <w:tblHeader/>
        </w:trPr>
        <w:tc>
          <w:tcPr>
            <w:tcW w:w="120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资产</w:t>
            </w:r>
          </w:p>
        </w:tc>
        <w:tc>
          <w:tcPr>
            <w:tcW w:w="345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策略</w:t>
            </w:r>
          </w:p>
        </w:tc>
        <w:tc>
          <w:tcPr>
            <w:tcW w:w="265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频率/保留</w:t>
            </w:r>
          </w:p>
        </w:tc>
        <w:tc>
          <w:tcPr>
            <w:tcW w:w="206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验收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D1</w:t>
            </w:r>
          </w:p>
        </w:tc>
        <w:tc>
          <w:tcPr>
            <w:tcW w:w="345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Cloudflare Time Travel + 加密的全量 SQL 导出；迁移文件随 Git 版本</w:t>
            </w:r>
          </w:p>
        </w:tc>
        <w:tc>
          <w:tcPr>
            <w:tcW w:w="265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导出每日；日备 14 份、周备 8 份、月备 12 份；Time Travel 以账户能力为准</w:t>
            </w:r>
          </w:p>
        </w:tc>
        <w:tc>
          <w:tcPr>
            <w:tcW w:w="206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导出非空、校验和、季度恢复查询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R2 原片</w:t>
            </w:r>
          </w:p>
        </w:tc>
        <w:tc>
          <w:tcPr>
            <w:tcW w:w="345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私有桶保留；另建独立备份桶/账户或加密离线源文件；按对象键复制</w:t>
            </w:r>
          </w:p>
        </w:tc>
        <w:tc>
          <w:tcPr>
            <w:tcW w:w="265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每日增量；删除保护期建议 30 天；母版长期保留</w:t>
            </w:r>
          </w:p>
        </w:tc>
        <w:tc>
          <w:tcPr>
            <w:tcW w:w="206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对象数/字节数、抽样哈希、季度抽播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Stream</w:t>
            </w:r>
          </w:p>
        </w:tc>
        <w:tc>
          <w:tcPr>
            <w:tcW w:w="345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保存 D1 资产映射和 R2 原片；不把 Stream 转码结果当作唯一备份</w:t>
            </w:r>
          </w:p>
        </w:tc>
        <w:tc>
          <w:tcPr>
            <w:tcW w:w="265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随 D1 和 R2</w:t>
            </w:r>
          </w:p>
        </w:tc>
        <w:tc>
          <w:tcPr>
            <w:tcW w:w="206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可从原片重新提交并更新映射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配置</w:t>
            </w:r>
          </w:p>
        </w:tc>
        <w:tc>
          <w:tcPr>
            <w:tcW w:w="345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Git 标签、Cloudflare 资源清单、非明文 Secret 清单、DNS/回调截图</w:t>
            </w:r>
          </w:p>
        </w:tc>
        <w:tc>
          <w:tcPr>
            <w:tcW w:w="265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每次发布或配置变更</w:t>
            </w:r>
          </w:p>
        </w:tc>
        <w:tc>
          <w:tcPr>
            <w:tcW w:w="206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双人复核且可定位到版本</w:t>
            </w:r>
          </w:p>
        </w:tc>
      </w:tr>
    </w:tbl>
    <w:p>
      <w:pPr>
        <w:spacing w:after="100"/>
      </w:pPr>
    </w:p>
    <w:tbl>
      <w:tblPr>
        <w:tblW w:w="5000" w:type="pct"/>
        <w:tblBorders>
          <w:top w:val="single" w:color="2E7D6E" w:sz="6"/>
          <w:left w:val="single" w:color="2E7D6E" w:sz="14"/>
          <w:bottom w:val="single" w:color="2E7D6E" w:sz="6"/>
          <w:right w:val="nil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9360"/>
      </w:tblGrid>
      <w:tr>
        <w:trPr>
          <w:cantSplit/>
        </w:trPr>
        <w:tc>
          <w:tcPr>
            <w:shd w:val="clear" w:color="auto" w:fill="FFF4CE"/>
          </w:tcPr>
          <w:p>
            <w:pPr>
              <w:spacing w:after="0" w:line="260" w:lineRule="auto"/>
            </w:pPr>
            <w:r>
              <w:rPr>
                <w:rFonts w:ascii="Noto Sans CJK SC" w:hAnsi="Noto Sans CJK SC" w:eastAsia="Noto Sans CJK SC" w:cs="Noto Sans CJK SC"/>
                <w:b/>
                <w:color w:val="174C43"/>
                <w:sz w:val="21"/>
                <w:szCs w:val="21"/>
              </w:rPr>
              <w:t xml:space="preserve">尚未落实项  </w:t>
            </w:r>
            <w:r>
              <w:rPr>
                <w:rFonts w:ascii="Noto Sans CJK SC" w:hAnsi="Noto Sans CJK SC" w:eastAsia="Noto Sans CJK SC" w:cs="Noto Sans CJK SC"/>
                <w:color w:val="263238"/>
                <w:sz w:val="20"/>
                <w:szCs w:val="20"/>
              </w:rPr>
              <w:t xml:space="preserve">当前仓库未包含自动 D1 导出任务或 R2 跨位置复制任务。上线前必须由运维在独立执行环境中落地，并将成功/失败发送到监控系统；备份不得只保存在开发电脑或生产同一凭据边界内。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D1 手工备份</w:t>
      </w:r>
    </w:p>
    <w:p>
      <w:pPr>
        <w:pStyle w:val="Checklist"/>
      </w:pPr>
      <w:r>
        <w:t xml:space="preserve">□ 确认当前账号、数据库名 reelnova-production、目标时间和导出目录；禁止把备份提交到 Git。</w:t>
      </w:r>
    </w:p>
    <w:p>
      <w:pPr>
        <w:pStyle w:val="Checklist"/>
      </w:pPr>
      <w:r>
        <w:t xml:space="preserve">□ 记录部署版本、最新迁移编号、UTC 时间、操作者和工单号。</w:t>
      </w:r>
    </w:p>
    <w:p>
      <w:pPr>
        <w:pStyle w:val="Code"/>
        <w:pBdr>
          <w:left w:val="single" w:color="2E7D6E" w:sz="18" w:space="8"/>
        </w:pBdr>
        <w:shd w:val="clear" w:color="auto" w:fill="F3F5F7"/>
      </w:pPr>
      <w:r>
        <w:rPr>
          <w:rFonts w:ascii="Noto Sans CJK SC" w:hAnsi="Noto Sans CJK SC" w:eastAsia="Noto Sans CJK SC" w:cs="Noto Sans CJK SC"/>
          <w:color w:val="263238"/>
          <w:sz w:val="18"/>
          <w:szCs w:val="18"/>
        </w:rPr>
        <w:t xml:space="preserve">mkdir -p ./backups/d1
npx wrangler d1 export reelnova-production --remote --output ./backups/d1/reelnova-production-YYYYMMDDTHHMMSSZ.sql
shasum -a 256 ./backups/d1/reelnova-production-YYYYMMDDTHHMMSSZ.sql</w:t>
      </w:r>
    </w:p>
    <w:p>
      <w:pPr>
        <w:pStyle w:val="Checklist"/>
      </w:pPr>
      <w:r>
        <w:t xml:space="preserve">□ 将 SQL 文件加密后传入批准的备份库；单独保存校验和、对象版本/路径和保留到期日。</w:t>
      </w:r>
    </w:p>
    <w:p>
      <w:pPr>
        <w:pStyle w:val="Checklist"/>
      </w:pPr>
      <w:r>
        <w:t xml:space="preserve">□ 只读检查文件包含 schema 和预期核心表；不要在生产上以导入方式做‘验证’。</w:t>
      </w:r>
    </w:p>
    <w:p>
      <w:pPr>
        <w:pStyle w:val="Heading2"/>
      </w:pPr>
      <w:r>
        <w:t xml:space="preserve">4.3 D1 Time Travel 恢复</w:t>
      </w:r>
    </w:p>
    <w:tbl>
      <w:tblPr>
        <w:tblW w:w="5000" w:type="pct"/>
        <w:tblBorders>
          <w:top w:val="single" w:color="2E7D6E" w:sz="6"/>
          <w:left w:val="single" w:color="2E7D6E" w:sz="14"/>
          <w:bottom w:val="single" w:color="2E7D6E" w:sz="6"/>
          <w:right w:val="nil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9360"/>
      </w:tblGrid>
      <w:tr>
        <w:trPr>
          <w:cantSplit/>
        </w:trPr>
        <w:tc>
          <w:tcPr>
            <w:shd w:val="clear" w:color="auto" w:fill="FDECEC"/>
          </w:tcPr>
          <w:p>
            <w:pPr>
              <w:spacing w:after="0" w:line="260" w:lineRule="auto"/>
            </w:pPr>
            <w:r>
              <w:rPr>
                <w:rFonts w:ascii="Noto Sans CJK SC" w:hAnsi="Noto Sans CJK SC" w:eastAsia="Noto Sans CJK SC" w:cs="Noto Sans CJK SC"/>
                <w:b/>
                <w:color w:val="174C43"/>
                <w:sz w:val="21"/>
                <w:szCs w:val="21"/>
              </w:rPr>
              <w:t xml:space="preserve">破坏性操作  </w:t>
            </w:r>
            <w:r>
              <w:rPr>
                <w:rFonts w:ascii="Noto Sans CJK SC" w:hAnsi="Noto Sans CJK SC" w:eastAsia="Noto Sans CJK SC" w:cs="Noto Sans CJK SC"/>
                <w:color w:val="263238"/>
                <w:sz w:val="20"/>
                <w:szCs w:val="20"/>
              </w:rPr>
              <w:t xml:space="preserve">Time Travel restore 会把远程 D1 恢复到历史状态。必须先停止相关写入、导出当前状态、由事件指挥与数据负责人双人批准，并确认恢复点之后的订单/退款/Webhook 如何补录。</w:t>
            </w:r>
          </w:p>
        </w:tc>
      </w:tr>
    </w:tbl>
    <w:p>
      <w:pPr>
        <w:spacing w:after="80"/>
      </w:pPr>
    </w:p>
    <w:p>
      <w:pPr>
        <w:pStyle w:val="Checklist"/>
      </w:pPr>
      <w:r>
        <w:t xml:space="preserve">□ 确定故障发生前的 UTC 时间，冻结发布、支付写入、后台内容编辑和定时对账；保留当前 D1 导出。</w:t>
      </w:r>
    </w:p>
    <w:p>
      <w:pPr>
        <w:pStyle w:val="Code"/>
        <w:pBdr>
          <w:left w:val="single" w:color="2E7D6E" w:sz="18" w:space="8"/>
        </w:pBdr>
        <w:shd w:val="clear" w:color="auto" w:fill="F3F5F7"/>
      </w:pPr>
      <w:r>
        <w:rPr>
          <w:rFonts w:ascii="Noto Sans CJK SC" w:hAnsi="Noto Sans CJK SC" w:eastAsia="Noto Sans CJK SC" w:cs="Noto Sans CJK SC"/>
          <w:color w:val="263238"/>
          <w:sz w:val="18"/>
          <w:szCs w:val="18"/>
        </w:rPr>
        <w:t xml:space="preserve">npx wrangler d1 time-travel info reelnova-production --timestamp 2026-09-10T00:00:00Z --json</w:t>
      </w:r>
    </w:p>
    <w:p>
      <w:pPr>
        <w:pStyle w:val="Checklist"/>
      </w:pPr>
      <w:r>
        <w:t xml:space="preserve">□ 核对返回 bookmark 和时间，记录工单；优先在隔离数据库/环境验证恢复点数据。</w:t>
      </w:r>
    </w:p>
    <w:p>
      <w:pPr>
        <w:pStyle w:val="Code"/>
        <w:pBdr>
          <w:left w:val="single" w:color="2E7D6E" w:sz="18" w:space="8"/>
        </w:pBdr>
        <w:shd w:val="clear" w:color="auto" w:fill="F3F5F7"/>
      </w:pPr>
      <w:r>
        <w:rPr>
          <w:rFonts w:ascii="Noto Sans CJK SC" w:hAnsi="Noto Sans CJK SC" w:eastAsia="Noto Sans CJK SC" w:cs="Noto Sans CJK SC"/>
          <w:color w:val="263238"/>
          <w:sz w:val="18"/>
          <w:szCs w:val="18"/>
        </w:rPr>
        <w:t xml:space="preserve">npx wrangler d1 time-travel restore reelnova-production --bookmark &lt;BOOKMARK&gt; --json</w:t>
      </w:r>
    </w:p>
    <w:p>
      <w:pPr>
        <w:pStyle w:val="Checklist"/>
      </w:pPr>
      <w:r>
        <w:t xml:space="preserve">□ 执行 npm run db:migrate:check；只读核对 users、orders、entitlements、media_assets、webhook_events 等核心表。</w:t>
      </w:r>
    </w:p>
    <w:p>
      <w:pPr>
        <w:pStyle w:val="Checklist"/>
      </w:pPr>
      <w:r>
        <w:t xml:space="preserve">□ 按 PayPal 官方事实补齐恢复点后的订单、退款和 Webhook；运行对账；确认权益一致后逐步恢复写入。</w:t>
      </w:r>
    </w:p>
    <w:p>
      <w:pPr>
        <w:pStyle w:val="Heading2"/>
      </w:pPr>
      <w:r>
        <w:t xml:space="preserve">4.4 SQL 导出恢复（替代路径）</w:t>
      </w:r>
    </w:p>
    <w:p>
      <w:pPr>
        <w:pStyle w:val="Bullet"/>
      </w:pPr>
      <w:r>
        <w:t xml:space="preserve">• 不要直接覆盖唯一生产库。创建隔离 D1 数据库，将可信 SQL 导入隔离库，完成表数、行数、金额、权益和媒体映射校验。</w:t>
      </w:r>
    </w:p>
    <w:p>
      <w:pPr>
        <w:pStyle w:val="Bullet"/>
      </w:pPr>
      <w:r>
        <w:t xml:space="preserve">• 制定切换方案：更新 D1 binding 前先记录原 database_id，发布兼容版本，验证后再切流；异常立即把 binding 指回原库。</w:t>
      </w:r>
    </w:p>
    <w:p>
      <w:pPr>
        <w:pStyle w:val="Bullet"/>
      </w:pPr>
      <w:r>
        <w:t xml:space="preserve">• 导入命令须使用 Cloudflare 当前支持的 d1 execute --remote --file 语法，并在实际执行前查看 npx wrangler d1 execute --help。</w:t>
      </w:r>
    </w:p>
    <w:p>
      <w:pPr>
        <w:pStyle w:val="Heading2"/>
      </w:pPr>
      <w:r>
        <w:t xml:space="preserve">4.5 R2 原片恢复</w:t>
      </w:r>
    </w:p>
    <w:p>
      <w:pPr>
        <w:pStyle w:val="Checklist"/>
      </w:pPr>
      <w:r>
        <w:t xml:space="preserve">□ 确认受影响对象键、D1 media_assets/upload_sessions 引用、源文件校验和和事件时间；暂停对应剧集发布/上传。</w:t>
      </w:r>
    </w:p>
    <w:p>
      <w:pPr>
        <w:pStyle w:val="Checklist"/>
      </w:pPr>
      <w:r>
        <w:t xml:space="preserve">□ 从独立备份桶或经批准的原始母版恢复到私有桶 reelnova-media-private 的相同对象键；禁止开启公共 r2.dev 访问。</w:t>
      </w:r>
    </w:p>
    <w:p>
      <w:pPr>
        <w:pStyle w:val="Code"/>
        <w:pBdr>
          <w:left w:val="single" w:color="2E7D6E" w:sz="18" w:space="8"/>
        </w:pBdr>
        <w:shd w:val="clear" w:color="auto" w:fill="F3F5F7"/>
      </w:pPr>
      <w:r>
        <w:rPr>
          <w:rFonts w:ascii="Noto Sans CJK SC" w:hAnsi="Noto Sans CJK SC" w:eastAsia="Noto Sans CJK SC" w:cs="Noto Sans CJK SC"/>
          <w:color w:val="263238"/>
          <w:sz w:val="18"/>
          <w:szCs w:val="18"/>
        </w:rPr>
        <w:t xml:space="preserve">npx wrangler r2 object put reelnova-media-private/&lt;OBJECT_KEY&gt; --file &lt;VERIFIED_LOCAL_FILE&gt; --content-type video/mp4</w:t>
      </w:r>
    </w:p>
    <w:p>
      <w:pPr>
        <w:pStyle w:val="Checklist"/>
      </w:pPr>
      <w:r>
        <w:t xml:space="preserve">□ 核对大小、内容类型和哈希；调用媒体任务重试/协调接口重新提交 Stream；确保 Stream requireSignedURLs=true。</w:t>
      </w:r>
    </w:p>
    <w:p>
      <w:pPr>
        <w:pStyle w:val="Checklist"/>
      </w:pPr>
      <w:r>
        <w:t xml:space="preserve">□ 确认 D1 资产状态 ready、缩略图、授权播放和用户端抽播；记录恢复对象清单。批量恢复应使用经评审的 S3 兼容同步工具，先 dry-run。</w:t>
      </w:r>
    </w:p>
    <w:p>
      <w:pPr>
        <w:pStyle w:val="Heading2"/>
      </w:pPr>
      <w:r>
        <w:t xml:space="preserve">4.6 恢复演练记录</w:t>
      </w:r>
    </w:p>
    <w:tbl>
      <w:tblPr>
        <w:tblW w:w="5000" w:type="pct"/>
        <w:tblBorders>
          <w:top w:val="single" w:color="8AA8A1" w:sz="6"/>
          <w:left w:val="single" w:color="CBD8D5" w:sz="4"/>
          <w:bottom w:val="single" w:color="8AA8A1" w:sz="6"/>
          <w:right w:val="single" w:color="CBD8D5" w:sz="4"/>
          <w:insideH w:val="single" w:color="CBD8D5" w:sz="4"/>
          <w:insideV w:val="single" w:color="CBD8D5" w:sz="4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250"/>
        <w:gridCol w:w="1900"/>
        <w:gridCol w:w="1350"/>
        <w:gridCol w:w="1700"/>
        <w:gridCol w:w="1550"/>
        <w:gridCol w:w="1610"/>
      </w:tblGrid>
      <w:tr>
        <w:trPr>
          <w:cantSplit/>
          <w:tblHeader/>
        </w:trPr>
        <w:tc>
          <w:tcPr>
            <w:tcW w:w="125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日期/工单</w:t>
            </w:r>
          </w:p>
        </w:tc>
        <w:tc>
          <w:tcPr>
            <w:tcW w:w="190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范围与恢复点</w:t>
            </w:r>
          </w:p>
        </w:tc>
        <w:tc>
          <w:tcPr>
            <w:tcW w:w="135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RPO/RTO 实测</w:t>
            </w:r>
          </w:p>
        </w:tc>
        <w:tc>
          <w:tcPr>
            <w:tcW w:w="170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验证结果</w:t>
            </w:r>
          </w:p>
        </w:tc>
        <w:tc>
          <w:tcPr>
            <w:tcW w:w="155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执行/复核</w:t>
            </w:r>
          </w:p>
        </w:tc>
        <w:tc>
          <w:tcPr>
            <w:tcW w:w="1610" w:type="dxa"/>
            <w:shd w:val="clear" w:color="auto" w:fill="174C43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szCs w:val="16"/>
              </w:rPr>
              <w:t xml:space="preserve">改进项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D1 隔离恢复</w:t>
            </w:r>
          </w:p>
        </w:tc>
        <w:tc>
          <w:tcPr>
            <w:tcW w:w="135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7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55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61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9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R2 单对象恢复 + Stream 重建</w:t>
            </w:r>
          </w:p>
        </w:tc>
        <w:tc>
          <w:tcPr>
            <w:tcW w:w="135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70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55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610" w:type="dxa"/>
            <w:shd w:val="clear" w:color="auto" w:fill="F4F7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D1 Time Travel 流程演练</w:t>
            </w:r>
          </w:p>
        </w:tc>
        <w:tc>
          <w:tcPr>
            <w:tcW w:w="135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70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55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  <w:tc>
          <w:tcPr>
            <w:tcW w:w="1610" w:type="dxa"/>
            <w:shd w:val="clear" w:color="auto"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6"/>
                <w:szCs w:val="16"/>
              </w:rPr>
              <w:t xml:space="preserve">待填写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5. 发布与回滚</w:t>
      </w:r>
    </w:p>
    <w:p>
      <w:pPr>
        <w:pStyle w:val="Heading2"/>
      </w:pPr>
      <w:r>
        <w:t xml:space="preserve">5.1 发布准入</w:t>
      </w:r>
    </w:p>
    <w:p>
      <w:pPr>
        <w:pStyle w:val="Checklist"/>
      </w:pPr>
      <w:r>
        <w:t xml:space="preserve">□ 变更工单包含范围、风险、负责人、观察窗口、回滚条件和上一稳定版本 ID。</w:t>
      </w:r>
    </w:p>
    <w:p>
      <w:pPr>
        <w:pStyle w:val="Checklist"/>
      </w:pPr>
      <w:r>
        <w:t xml:space="preserve">□ 数据库迁移向后兼容；禁止同一发布中先删除旧字段再切换代码。破坏性变更至少分两次发布。</w:t>
      </w:r>
    </w:p>
    <w:p>
      <w:pPr>
        <w:pStyle w:val="Checklist"/>
      </w:pPr>
      <w:r>
        <w:t xml:space="preserve">□ 发布前完成 D1 导出；涉及媒体对象批量修改时完成对象清单和独立副本。</w:t>
      </w:r>
    </w:p>
    <w:p>
      <w:pPr>
        <w:pStyle w:val="Checklist"/>
      </w:pPr>
      <w:r>
        <w:t xml:space="preserve">□ 生产 Secret 仅存在于批准的 Secret 存储；REELNOVA_PUBLIC_MOCK_FALLBACK=false；Cloudflare Access 策略已验证。</w:t>
      </w:r>
    </w:p>
    <w:p>
      <w:pPr>
        <w:pStyle w:val="Checklist"/>
      </w:pPr>
      <w:r>
        <w:t xml:space="preserve">□ 发布窗口内无未处理 P0/P1，PayPal 未决交易/退款风险已评估。</w:t>
      </w:r>
    </w:p>
    <w:p>
      <w:pPr>
        <w:pStyle w:val="Heading2"/>
      </w:pPr>
      <w:r>
        <w:t xml:space="preserve">5.2 标准发布步骤</w:t>
      </w:r>
    </w:p>
    <w:p>
      <w:pPr>
        <w:pStyle w:val="Code"/>
        <w:pBdr>
          <w:left w:val="single" w:color="2E7D6E" w:sz="18" w:space="8"/>
        </w:pBdr>
        <w:shd w:val="clear" w:color="auto" w:fill="F3F5F7"/>
      </w:pPr>
      <w:r>
        <w:rPr>
          <w:rFonts w:ascii="Noto Sans CJK SC" w:hAnsi="Noto Sans CJK SC" w:eastAsia="Noto Sans CJK SC" w:cs="Noto Sans CJK SC"/>
          <w:color w:val="263238"/>
          <w:sz w:val="18"/>
          <w:szCs w:val="18"/>
        </w:rPr>
        <w:t xml:space="preserve">npm ci
npm run typecheck
npm run check:media-worker
npm run test:media-worker
npm run test:entitlements
npm run test:payments
npm run test:playback-security
npm run build:cloudflare</w:t>
      </w:r>
    </w:p>
    <w:p>
      <w:pPr>
        <w:pStyle w:val="Checklist"/>
      </w:pPr>
      <w:r>
        <w:t xml:space="preserve">□ 保存 Git commit/tag、构建结果和 Cloudflare 当前部署/版本 ID。</w:t>
      </w:r>
    </w:p>
    <w:p>
      <w:pPr>
        <w:pStyle w:val="Checklist"/>
      </w:pPr>
      <w:r>
        <w:t xml:space="preserve">□ 先运行 npm run db:migrate:check；若有迁移，确认备份成功后执行 npm run db:migrate -- --apply，再复查。</w:t>
      </w:r>
    </w:p>
    <w:p>
      <w:pPr>
        <w:pStyle w:val="Checklist"/>
      </w:pPr>
      <w:r>
        <w:t xml:space="preserve">□ 部署 Nuxt 应用到 Cloudflare；如媒体 Worker 有变更，执行 npm run deploy:media-worker，并记录版本 ID。</w:t>
      </w:r>
    </w:p>
    <w:p>
      <w:pPr>
        <w:pStyle w:val="Code"/>
        <w:pBdr>
          <w:left w:val="single" w:color="2E7D6E" w:sz="18" w:space="8"/>
        </w:pBdr>
        <w:shd w:val="clear" w:color="auto" w:fill="F3F5F7"/>
      </w:pPr>
      <w:r>
        <w:rPr>
          <w:rFonts w:ascii="Noto Sans CJK SC" w:hAnsi="Noto Sans CJK SC" w:eastAsia="Noto Sans CJK SC" w:cs="Noto Sans CJK SC"/>
          <w:color w:val="263238"/>
          <w:sz w:val="18"/>
          <w:szCs w:val="18"/>
        </w:rPr>
        <w:t xml:space="preserve">npm run check:domains
npm run check:production</w:t>
      </w:r>
    </w:p>
    <w:p>
      <w:pPr>
        <w:pStyle w:val="Checklist"/>
      </w:pPr>
      <w:r>
        <w:t xml:space="preserve">□ 在 /admin/system 核对 D1、PayPal、媒体与 Webhook；完成首页、登录、后台读取、支付、权益、播放、上传的风险对应抽检。</w:t>
      </w:r>
    </w:p>
    <w:p>
      <w:pPr>
        <w:pStyle w:val="Checklist"/>
      </w:pPr>
      <w:r>
        <w:t xml:space="preserve">□ 观察至少 30 分钟：5xx、延迟、PayPal、Webhook、D1、Stream 和播放失败无异常后关闭发布工单。</w:t>
      </w:r>
    </w:p>
    <w:p>
      <w:pPr>
        <w:pStyle w:val="Heading2"/>
      </w:pPr>
      <w:r>
        <w:t xml:space="preserve">5.3 回滚触发条件</w:t>
      </w:r>
    </w:p>
    <w:p>
      <w:pPr>
        <w:pStyle w:val="Bullet"/>
      </w:pPr>
      <w:r>
        <w:t xml:space="preserve">• 发布后出现 P0/P1，或 5xx/播放/支付失败超过告警阈值且 10 分钟内不能通过配置止损。</w:t>
      </w:r>
    </w:p>
    <w:p>
      <w:pPr>
        <w:pStyle w:val="Bullet"/>
      </w:pPr>
      <w:r>
        <w:t xml:space="preserve">• 发现错误扣款、重复权益、越权、数据破坏或 Secret 暴露时立即停止流量/功能并回滚或吊销。</w:t>
      </w:r>
    </w:p>
    <w:p>
      <w:pPr>
        <w:pStyle w:val="Bullet"/>
      </w:pPr>
      <w:r>
        <w:t xml:space="preserve">• 迁移后核心数据校验失败，不得只回滚代码；先冻结写入并执行数据恢复决策。</w:t>
      </w:r>
    </w:p>
    <w:p>
      <w:pPr>
        <w:pStyle w:val="Heading2"/>
      </w:pPr>
      <w:r>
        <w:t xml:space="preserve">5.4 应用与媒体 Worker 回滚</w:t>
      </w:r>
    </w:p>
    <w:p>
      <w:pPr>
        <w:pStyle w:val="Checklist"/>
      </w:pPr>
      <w:r>
        <w:t xml:space="preserve">□ 宣布回滚，冻结新发布，记录当前与目标版本。Cloudflare Pages/Workers 主应用优先在控制台将生产流量回退到上一成功部署，具体入口以当前部署形态为准。</w:t>
      </w:r>
    </w:p>
    <w:p>
      <w:pPr>
        <w:pStyle w:val="Code"/>
        <w:pBdr>
          <w:left w:val="single" w:color="2E7D6E" w:sz="18" w:space="8"/>
        </w:pBdr>
        <w:shd w:val="clear" w:color="auto" w:fill="F3F5F7"/>
      </w:pPr>
      <w:r>
        <w:rPr>
          <w:rFonts w:ascii="Noto Sans CJK SC" w:hAnsi="Noto Sans CJK SC" w:eastAsia="Noto Sans CJK SC" w:cs="Noto Sans CJK SC"/>
          <w:color w:val="263238"/>
          <w:sz w:val="18"/>
          <w:szCs w:val="18"/>
        </w:rPr>
        <w:t xml:space="preserve">npx wrangler deployments list --config wrangler.media.toml
npx wrangler rollback &lt;PREVIOUS_VERSION_ID&gt; --config wrangler.media.toml --message "INC-YYYYMMDD-NNN rollback" --yes</w:t>
      </w:r>
    </w:p>
    <w:p>
      <w:pPr>
        <w:pStyle w:val="Checklist"/>
      </w:pPr>
      <w:r>
        <w:t xml:space="preserve">□ 回滚后执行 npm run check:domains、npm run check:production，并验证 /admin/system、上传和授权播放。</w:t>
      </w:r>
    </w:p>
    <w:p>
      <w:pPr>
        <w:pStyle w:val="Checklist"/>
      </w:pPr>
      <w:r>
        <w:t xml:space="preserve">□ 如果 Secret、binding、routes、cron 或 wrangler.toml 同时变更，单纯代码回滚不会自动恢复这些配置；按工单逐项还原并验证。</w:t>
      </w:r>
    </w:p>
    <w:p>
      <w:pPr>
        <w:pStyle w:val="Heading2"/>
      </w:pPr>
      <w:r>
        <w:t xml:space="preserve">5.5 数据库迁移回滚原则</w:t>
      </w:r>
    </w:p>
    <w:p>
      <w:pPr>
        <w:pStyle w:val="Bullet"/>
      </w:pPr>
      <w:r>
        <w:t xml:space="preserve">• 优先前滚修复：新增列/表保留兼容，发布修复迁移；不要手工删除已写入的生产数据。</w:t>
      </w:r>
    </w:p>
    <w:p>
      <w:pPr>
        <w:pStyle w:val="Bullet"/>
      </w:pPr>
      <w:r>
        <w:t xml:space="preserve">• 必须恢复时，以预发布 D1 导出或 Time Travel 为恢复点，并单独补录恢复点后的支付/退款事实；代码版本必须与恢复后的 schema 匹配。</w:t>
      </w:r>
    </w:p>
    <w:p>
      <w:pPr>
        <w:pStyle w:val="Bullet"/>
      </w:pPr>
      <w:r>
        <w:t xml:space="preserve">• 所有 D1 恢复均按第 4 章双人审批流程执行，不得把 wrangler rollback 误认为数据库回滚。</w:t>
      </w:r>
    </w:p>
    <w:p>
      <w:pPr>
        <w:pStyle w:val="Heading1"/>
      </w:pPr>
      <w:r>
        <w:t xml:space="preserve">6. 故障应急流程</w:t>
      </w:r>
    </w:p>
    <w:p>
      <w:pPr>
        <w:pStyle w:val="Heading2"/>
      </w:pPr>
      <w:r>
        <w:t xml:space="preserve">6.1 通用处置流程</w:t>
      </w:r>
    </w:p>
    <w:tbl>
      <w:tblPr>
        <w:tblW w:w="5000" w:type="pct"/>
        <w:tblBorders>
          <w:top w:val="single" w:color="8AA8A1" w:sz="6"/>
          <w:left w:val="single" w:color="CBD8D5" w:sz="4"/>
          <w:bottom w:val="single" w:color="8AA8A1" w:sz="6"/>
          <w:right w:val="single" w:color="CBD8D5" w:sz="4"/>
          <w:insideH w:val="single" w:color="CBD8D5" w:sz="4"/>
          <w:insideV w:val="single" w:color="CBD8D5" w:sz="4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350"/>
        <w:gridCol w:w="2000"/>
        <w:gridCol w:w="6010"/>
      </w:tblGrid>
      <w:tr>
        <w:trPr>
          <w:cantSplit/>
          <w:tblHeader/>
        </w:trPr>
        <w:tc>
          <w:tcPr>
            <w:tcW w:w="135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w="200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目标</w:t>
            </w:r>
          </w:p>
        </w:tc>
        <w:tc>
          <w:tcPr>
            <w:tcW w:w="601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必须动作</w:t>
            </w:r>
          </w:p>
        </w:tc>
      </w:tr>
      <w:tr>
        <w:trPr>
          <w:cantSplit/>
        </w:trPr>
        <w:tc>
          <w:tcPr>
            <w:tcW w:w="135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发现与确认</w:t>
            </w:r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确认真实影响</w:t>
            </w:r>
          </w:p>
        </w:tc>
        <w:tc>
          <w:tcPr>
            <w:tcW w:w="601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建立事件、记录首次时间/症状/版本；排除单点客户端问题</w:t>
            </w:r>
          </w:p>
        </w:tc>
      </w:tr>
      <w:tr>
        <w:trPr>
          <w:cantSplit/>
        </w:trPr>
        <w:tc>
          <w:tcPr>
            <w:tcW w:w="135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定级与止损</w:t>
            </w:r>
          </w:p>
        </w:tc>
        <w:tc>
          <w:tcPr>
            <w:tcW w:w="20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减少新增影响</w:t>
            </w:r>
          </w:p>
        </w:tc>
        <w:tc>
          <w:tcPr>
            <w:tcW w:w="601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指定 IC；暂停发布；按需关闭支付、上传、内容发布或吊销凭据</w:t>
            </w:r>
          </w:p>
        </w:tc>
      </w:tr>
      <w:tr>
        <w:trPr>
          <w:cantSplit/>
        </w:trPr>
        <w:tc>
          <w:tcPr>
            <w:tcW w:w="135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诊断</w:t>
            </w:r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定位故障域</w:t>
            </w:r>
          </w:p>
        </w:tc>
        <w:tc>
          <w:tcPr>
            <w:tcW w:w="601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按请求链路、时间线和最近变更核对 Cloudflare、D1、PayPal、R2/Stream</w:t>
            </w:r>
          </w:p>
        </w:tc>
      </w:tr>
      <w:tr>
        <w:trPr>
          <w:cantSplit/>
        </w:trPr>
        <w:tc>
          <w:tcPr>
            <w:tcW w:w="135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恢复</w:t>
            </w:r>
          </w:p>
        </w:tc>
        <w:tc>
          <w:tcPr>
            <w:tcW w:w="20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恢复核心服务</w:t>
            </w:r>
          </w:p>
        </w:tc>
        <w:tc>
          <w:tcPr>
            <w:tcW w:w="601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选择回滚、配置修复、供应商绕行或数据恢复；每步可逆并记录</w:t>
            </w:r>
          </w:p>
        </w:tc>
      </w:tr>
      <w:tr>
        <w:trPr>
          <w:cantSplit/>
        </w:trPr>
        <w:tc>
          <w:tcPr>
            <w:tcW w:w="135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验证与观察</w:t>
            </w:r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防止假恢复</w:t>
            </w:r>
          </w:p>
        </w:tc>
        <w:tc>
          <w:tcPr>
            <w:tcW w:w="601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技术指标 + 业务抽检 + 数据一致性；至少观察 30 分钟</w:t>
            </w:r>
          </w:p>
        </w:tc>
      </w:tr>
      <w:tr>
        <w:trPr>
          <w:cantSplit/>
        </w:trPr>
        <w:tc>
          <w:tcPr>
            <w:tcW w:w="135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关闭与复盘</w:t>
            </w:r>
          </w:p>
        </w:tc>
        <w:tc>
          <w:tcPr>
            <w:tcW w:w="200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避免复发</w:t>
            </w:r>
          </w:p>
        </w:tc>
        <w:tc>
          <w:tcPr>
            <w:tcW w:w="601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用户影响、根因、时间线、证据、改进责任人与期限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6.2 全站/API 不可用</w:t>
      </w:r>
    </w:p>
    <w:p>
      <w:pPr>
        <w:pStyle w:val="Bullet"/>
      </w:pPr>
      <w:r>
        <w:t xml:space="preserve">• 检查 Cloudflare 状态、DNS/TLS、最新部署、5xx 路由分布和 D1 连接；执行 npm run check:domains。</w:t>
      </w:r>
    </w:p>
    <w:p>
      <w:pPr>
        <w:pStyle w:val="Bullet"/>
      </w:pPr>
      <w:r>
        <w:t xml:space="preserve">• 若与发布强相关，按 5.4 回滚；若 D1 故障，禁止把生产切到内存/mock 回退，保持明确不可用并保护一致性。</w:t>
      </w:r>
    </w:p>
    <w:p>
      <w:pPr>
        <w:pStyle w:val="Bullet"/>
      </w:pPr>
      <w:r>
        <w:t xml:space="preserve">• 主域名故障时不得临时切换到未验证域名；PayPal/Stream 回调、Cookie、CORS、Access 和缓存必须一并评估。</w:t>
      </w:r>
    </w:p>
    <w:p>
      <w:pPr>
        <w:pStyle w:val="Heading2"/>
      </w:pPr>
      <w:r>
        <w:t xml:space="preserve">6.3 PayPal 支付或权益异常</w:t>
      </w:r>
    </w:p>
    <w:p>
      <w:pPr>
        <w:pStyle w:val="Bullet"/>
      </w:pPr>
      <w:r>
        <w:t xml:space="preserve">• 立即区分无法创建订单、无法 capture、Webhook 延迟、退款异常和已付款无权益；暂停生产收款时保留浏览/已购播放能力。</w:t>
      </w:r>
    </w:p>
    <w:p>
      <w:pPr>
        <w:pStyle w:val="Bullet"/>
      </w:pPr>
      <w:r>
        <w:t xml:space="preserve">• PayPal 浏览器 approval 不是付款凭证。只依据 PayPal API 已验证 capture/Webhook 和订单快照修正 D1；禁止人工将未知订单改为 paid。</w:t>
      </w:r>
    </w:p>
    <w:p>
      <w:pPr>
        <w:pStyle w:val="Bullet"/>
      </w:pPr>
      <w:r>
        <w:t xml:space="preserve">• 检查 pending/processing、webhook_events、退款和 entitlements；让小时 reconciliation 收敛或从后台重放已验证失败 Webhook。</w:t>
      </w:r>
    </w:p>
    <w:p>
      <w:pPr>
        <w:pStyle w:val="Bullet"/>
      </w:pPr>
      <w:r>
        <w:t xml:space="preserve">• 恢复后核对金额/币种、订单环境、一次性权益、退款撤权和对账；疑似重复扣款按 P0 处理并通知支付负责人。</w:t>
      </w:r>
    </w:p>
    <w:p>
      <w:pPr>
        <w:pStyle w:val="Heading2"/>
      </w:pPr>
      <w:r>
        <w:t xml:space="preserve">6.4 播放、R2 或 Stream 故障</w:t>
      </w:r>
    </w:p>
    <w:p>
      <w:pPr>
        <w:pStyle w:val="Bullet"/>
      </w:pPr>
      <w:r>
        <w:t xml:space="preserve">• 先区分权益拒绝、播放 grant/签名、Stream CDN、单资产转码和媒体 Worker/R2 上传故障。不要为恢复播放公开 R2 桶或关闭权益校验。</w:t>
      </w:r>
    </w:p>
    <w:p>
      <w:pPr>
        <w:pStyle w:val="Bullet"/>
      </w:pPr>
      <w:r>
        <w:t xml:space="preserve">• Stream 故障时暂停新上传/发布，保留现有 ready 内容；Webhook 丢失可通过分集轮询/协调流程修复状态。</w:t>
      </w:r>
    </w:p>
    <w:p>
      <w:pPr>
        <w:pStyle w:val="Bullet"/>
      </w:pPr>
      <w:r>
        <w:t xml:space="preserve">• R2 对象缺失按 4.5 恢复；转码资产损坏则从 R2 私有原片重新摄取，验证 signed URL 后再上架。</w:t>
      </w:r>
    </w:p>
    <w:p>
      <w:pPr>
        <w:pStyle w:val="Heading2"/>
      </w:pPr>
      <w:r>
        <w:t xml:space="preserve">6.5 D1 数据库异常</w:t>
      </w:r>
    </w:p>
    <w:p>
      <w:pPr>
        <w:pStyle w:val="Bullet"/>
      </w:pPr>
      <w:r>
        <w:t xml:space="preserve">• 停止迁移、后台写操作、支付和定时 reconciliation；保留当前导出与 Cloudflare 事件证据。</w:t>
      </w:r>
    </w:p>
    <w:p>
      <w:pPr>
        <w:pStyle w:val="Bullet"/>
      </w:pPr>
      <w:r>
        <w:t xml:space="preserve">• 查询错误或容量问题先评估限流/索引/查询回滚；数据误删或污染才进入 Time Travel，严格执行恢复点后事实补录。</w:t>
      </w:r>
    </w:p>
    <w:p>
      <w:pPr>
        <w:pStyle w:val="Bullet"/>
      </w:pPr>
      <w:r>
        <w:t xml:space="preserve">• 恢复后执行迁移检查、核心表只读核对、PayPal 对账、权益一致性和播放抽检。</w:t>
      </w:r>
    </w:p>
    <w:p>
      <w:pPr>
        <w:pStyle w:val="Heading2"/>
      </w:pPr>
      <w:r>
        <w:t xml:space="preserve">6.6 域名、TLS 与 Cloudflare Access</w:t>
      </w:r>
    </w:p>
    <w:p>
      <w:pPr>
        <w:pStyle w:val="Bullet"/>
      </w:pPr>
      <w:r>
        <w:t xml:space="preserve">• 检查 iseedrama.com、www、admin、media 的 DNS、证书、自定义域名状态和 www 301；运行 npm run check:domains。</w:t>
      </w:r>
    </w:p>
    <w:p>
      <w:pPr>
        <w:pStyle w:val="Bullet"/>
      </w:pPr>
      <w:r>
        <w:t xml:space="preserve">• 后台 Access 故障时，不要为了恢复访问长期关闭保护。使用 break-glass 账号按审批临时处置，并完整审计。</w:t>
      </w:r>
    </w:p>
    <w:p>
      <w:pPr>
        <w:pStyle w:val="Bullet"/>
      </w:pPr>
      <w:r>
        <w:t xml:space="preserve">• 主域名变更必须同步 PayPal Webhook/return、Stream Webhook、Worker APP_ORIGINS、Access audience、缓存和绝对链接。</w:t>
      </w:r>
    </w:p>
    <w:p>
      <w:pPr>
        <w:pStyle w:val="Heading2"/>
      </w:pPr>
      <w:r>
        <w:t xml:space="preserve">6.7 Secret 泄露或高权限账号异常</w:t>
      </w:r>
    </w:p>
    <w:p>
      <w:pPr>
        <w:pStyle w:val="Bullet"/>
      </w:pPr>
      <w:r>
        <w:t xml:space="preserve">• 按 P0/P1 建立安全事件，立即吊销受影响 Token/会话，冻结管理员账号，保存审计、IP、时间和供应商日志；不得在事件群粘贴明文。</w:t>
      </w:r>
    </w:p>
    <w:p>
      <w:pPr>
        <w:pStyle w:val="Bullet"/>
      </w:pPr>
      <w:r>
        <w:t xml:space="preserve">• 按《生产 Secret 交接清单与轮换记录》确定依赖和轮换顺序；Cloudflare Token、媒体共享 Secret、PayPal Secret、会话签名密钥分别验证。</w:t>
      </w:r>
    </w:p>
    <w:p>
      <w:pPr>
        <w:pStyle w:val="Bullet"/>
      </w:pPr>
      <w:r>
        <w:t xml:space="preserve">• 搜索 Git 历史、构建日志、工单和聊天的泄露范围。仅删除文件不等于撤销，应先轮换/吊销再清理载体。</w:t>
      </w:r>
    </w:p>
    <w:p>
      <w:r>
        <w:br w:type="page"/>
      </w:r>
    </w:p>
    <w:p>
      <w:pPr>
        <w:pStyle w:val="Heading2"/>
      </w:pPr>
      <w:r>
        <w:t xml:space="preserve">6.8 故障记录模板</w:t>
      </w:r>
    </w:p>
    <w:tbl>
      <w:tblPr>
        <w:tblW w:w="5000" w:type="pct"/>
        <w:tblBorders>
          <w:top w:val="single" w:color="8AA8A1" w:sz="6"/>
          <w:left w:val="single" w:color="CBD8D5" w:sz="4"/>
          <w:bottom w:val="single" w:color="8AA8A1" w:sz="6"/>
          <w:right w:val="single" w:color="CBD8D5" w:sz="4"/>
          <w:insideH w:val="single" w:color="CBD8D5" w:sz="4"/>
          <w:insideV w:val="single" w:color="CBD8D5" w:sz="4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450"/>
        <w:gridCol w:w="6910"/>
      </w:tblGrid>
      <w:tr>
        <w:trPr>
          <w:cantSplit/>
          <w:tblHeader/>
        </w:trPr>
        <w:tc>
          <w:tcPr>
            <w:tcW w:w="245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w="691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填写内容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事件编号/级别</w:t>
            </w:r>
          </w:p>
        </w:tc>
        <w:tc>
          <w:tcPr>
            <w:tcW w:w="691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INC-YYYYMMDD-NNN / P0-P3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开始/发现/恢复/关闭时间</w:t>
            </w:r>
          </w:p>
        </w:tc>
        <w:tc>
          <w:tcPr>
            <w:tcW w:w="691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UTC 时间；注明时区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用户与业务影响</w:t>
            </w:r>
          </w:p>
        </w:tc>
        <w:tc>
          <w:tcPr>
            <w:tcW w:w="691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地区、功能、订单/用户数、收入、数据与合规影响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最近变更</w:t>
            </w:r>
          </w:p>
        </w:tc>
        <w:tc>
          <w:tcPr>
            <w:tcW w:w="691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Git commit、Cloudflare deployment/version、配置/Secret/迁移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时间线</w:t>
            </w:r>
          </w:p>
        </w:tc>
        <w:tc>
          <w:tcPr>
            <w:tcW w:w="691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每个决策、命令、执行人、结果和证据链接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根因与促成因素</w:t>
            </w:r>
          </w:p>
        </w:tc>
        <w:tc>
          <w:tcPr>
            <w:tcW w:w="691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直接技术原因及监控、流程、权限或容量缺口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纠正措施</w:t>
            </w:r>
          </w:p>
        </w:tc>
        <w:tc>
          <w:tcPr>
            <w:tcW w:w="691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负责人、期限、验收标准和关联工单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审批与通知</w:t>
            </w:r>
          </w:p>
        </w:tc>
        <w:tc>
          <w:tcPr>
            <w:tcW w:w="6910" w:type="dxa"/>
            <w:shd w:val="clear" w:color="auto" w:fill="F4F7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IC、技术/业务/安全审批，对外沟通记录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7. 上线交接检查表</w:t>
      </w:r>
    </w:p>
    <w:p>
      <w:pPr>
        <w:pStyle w:val="Checklist"/>
      </w:pPr>
      <w:r>
        <w:t xml:space="preserve">□ 值班表、P0/P1 电话树、事件频道、Cloudflare/PayPal 支持入口已经填写并实测。</w:t>
      </w:r>
    </w:p>
    <w:p>
      <w:pPr>
        <w:pStyle w:val="Checklist"/>
      </w:pPr>
      <w:r>
        <w:t xml:space="preserve">□ 公网合成监控、Cloudflare Notifications、日志查询和 P0/P1 双通道通知已启用。</w:t>
      </w:r>
    </w:p>
    <w:p>
      <w:pPr>
        <w:pStyle w:val="Checklist"/>
      </w:pPr>
      <w:r>
        <w:t xml:space="preserve">□ D1 每日导出与 R2 独立副本任务已启用，失败告警已测试，保管库不与生产共用单一凭据。</w:t>
      </w:r>
    </w:p>
    <w:p>
      <w:pPr>
        <w:pStyle w:val="Checklist"/>
      </w:pPr>
      <w:r>
        <w:t xml:space="preserve">□ 已完成一次隔离 D1 恢复、一个 R2 对象恢复和一次媒体 Worker 回滚演练。</w:t>
      </w:r>
    </w:p>
    <w:p>
      <w:pPr>
        <w:pStyle w:val="Checklist"/>
      </w:pPr>
      <w:r>
        <w:t xml:space="preserve">□ RPO/RTO、备份保留周期、日志保留和应急授权已经业务、安全、法务/财务批准。</w:t>
      </w:r>
    </w:p>
    <w:p>
      <w:pPr>
        <w:pStyle w:val="Checklist"/>
      </w:pPr>
      <w:r>
        <w:t xml:space="preserve">□ Secret 交接、权限最小化、生产默认管理员凭据替换及轮换记录已签字。</w:t>
      </w:r>
    </w:p>
    <w:p>
      <w:pPr>
        <w:pStyle w:val="Checklist"/>
      </w:pPr>
      <w:r>
        <w:t xml:space="preserve">□ 生产收款前 npm run check:domains、npm run check:production 和关键业务抽检全部通过。</w:t>
      </w:r>
    </w:p>
    <w:p>
      <w:pPr>
        <w:pStyle w:val="Heading1"/>
      </w:pPr>
      <w:r>
        <w:t xml:space="preserve">附录 A：常用只读/校验命令</w:t>
      </w:r>
    </w:p>
    <w:p>
      <w:pPr>
        <w:pStyle w:val="Code"/>
        <w:pBdr>
          <w:left w:val="single" w:color="2E7D6E" w:sz="18" w:space="8"/>
        </w:pBdr>
        <w:shd w:val="clear" w:color="auto" w:fill="F3F5F7"/>
      </w:pPr>
      <w:r>
        <w:rPr>
          <w:rFonts w:ascii="Noto Sans CJK SC" w:hAnsi="Noto Sans CJK SC" w:eastAsia="Noto Sans CJK SC" w:cs="Noto Sans CJK SC"/>
          <w:color w:val="263238"/>
          <w:sz w:val="18"/>
          <w:szCs w:val="18"/>
        </w:rPr>
        <w:t xml:space="preserve">npm run db:migrate:check
npm run check:cloudflare
npm run check:domains
npm run check:production
npx wrangler d1 info reelnova-production
npx wrangler deployments status --config wrangler.media.toml
npx wrangler versions list --config wrangler.media.toml
npx wrangler r2 bucket info reelnova-media-private</w:t>
      </w:r>
    </w:p>
    <w:tbl>
      <w:tblPr>
        <w:tblW w:w="5000" w:type="pct"/>
        <w:tblBorders>
          <w:top w:val="single" w:color="2E7D6E" w:sz="6"/>
          <w:left w:val="single" w:color="2E7D6E" w:sz="14"/>
          <w:bottom w:val="single" w:color="2E7D6E" w:sz="6"/>
          <w:right w:val="nil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9360"/>
      </w:tblGrid>
      <w:tr>
        <w:trPr>
          <w:cantSplit/>
        </w:trPr>
        <w:tc>
          <w:tcPr>
            <w:shd w:val="clear" w:color="auto" w:fill="F3F5F7"/>
          </w:tcPr>
          <w:p>
            <w:pPr>
              <w:spacing w:after="0" w:line="260" w:lineRule="auto"/>
            </w:pPr>
            <w:r>
              <w:rPr>
                <w:rFonts w:ascii="Noto Sans CJK SC" w:hAnsi="Noto Sans CJK SC" w:eastAsia="Noto Sans CJK SC" w:cs="Noto Sans CJK SC"/>
                <w:b/>
                <w:color w:val="174C43"/>
                <w:sz w:val="21"/>
                <w:szCs w:val="21"/>
              </w:rPr>
              <w:t xml:space="preserve">命令版本  </w:t>
            </w:r>
            <w:r>
              <w:rPr>
                <w:rFonts w:ascii="Noto Sans CJK SC" w:hAnsi="Noto Sans CJK SC" w:eastAsia="Noto Sans CJK SC" w:cs="Noto Sans CJK SC"/>
                <w:color w:val="263238"/>
                <w:sz w:val="20"/>
                <w:szCs w:val="20"/>
              </w:rPr>
              <w:t xml:space="preserve">本手册按仓库锁定的 Wrangler 4.120.0 命令帮助核对。工具升级后，应先在非生产环境确认语法和行为，再更新手册。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附录 B：维护记录</w:t>
      </w:r>
    </w:p>
    <w:tbl>
      <w:tblPr>
        <w:tblW w:w="5000" w:type="pct"/>
        <w:tblBorders>
          <w:top w:val="single" w:color="8AA8A1" w:sz="6"/>
          <w:left w:val="single" w:color="CBD8D5" w:sz="4"/>
          <w:bottom w:val="single" w:color="8AA8A1" w:sz="6"/>
          <w:right w:val="single" w:color="CBD8D5" w:sz="4"/>
          <w:insideH w:val="single" w:color="CBD8D5" w:sz="4"/>
          <w:insideV w:val="single" w:color="CBD8D5" w:sz="4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0"/>
        <w:gridCol w:w="1500"/>
        <w:gridCol w:w="4200"/>
        <w:gridCol w:w="1350"/>
        <w:gridCol w:w="1310"/>
      </w:tblGrid>
      <w:tr>
        <w:trPr>
          <w:cantSplit/>
          <w:tblHeader/>
        </w:trPr>
        <w:tc>
          <w:tcPr>
            <w:tcW w:w="100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w="150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w="420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变更摘要</w:t>
            </w:r>
          </w:p>
        </w:tc>
        <w:tc>
          <w:tcPr>
            <w:tcW w:w="135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编制</w:t>
            </w:r>
          </w:p>
        </w:tc>
        <w:tc>
          <w:tcPr>
            <w:tcW w:w="1310" w:type="dxa"/>
            <w:shd w:val="clear" w:color="auto" w:fill="174C4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szCs w:val="18"/>
              </w:rPr>
              <w:t xml:space="preserve">复核/批准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V1.0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2026-09-10</w:t>
            </w:r>
          </w:p>
        </w:tc>
        <w:tc>
          <w:tcPr>
            <w:tcW w:w="420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首次生成：监控、备份恢复、发布回滚、故障应急</w:t>
            </w:r>
          </w:p>
        </w:tc>
        <w:tc>
          <w:tcPr>
            <w:tcW w:w="135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ReelNova 项目组</w:t>
            </w:r>
          </w:p>
        </w:tc>
        <w:tc>
          <w:tcPr>
            <w:tcW w:w="1310" w:type="dxa"/>
            <w:shd w:val="clear" w:color="auto"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63238"/>
                <w:sz w:val="18"/>
                <w:szCs w:val="18"/>
              </w:rPr>
              <w:t xml:space="preserve">待填写</w:t>
            </w:r>
          </w:p>
        </w:tc>
      </w:tr>
    </w:tbl>
    <w:p>
      <w:pPr>
        <w:spacing w:after="100"/>
      </w:pPr>
    </w:p>
    <w:sectPr>
      <w:headerReference xmlns:r="http://schemas.openxmlformats.org/officeDocument/2006/relationships" w:type="default" r:id="R30c8c3f1932d4149"/>
      <w:footerReference xmlns:r="http://schemas.openxmlformats.org/officeDocument/2006/relationships" w:type="default" r:id="Rcfbf885a113e4a43"/>
      <w:pgSz w:w="11906" w:h="16838"/>
      <w:pgMar w:top="1134" w:right="1276" w:bottom="1134" w:left="1276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Noto Sans CJK SC" w:hAnsi="Noto Sans CJK SC" w:eastAsia="Noto Sans CJK SC" w:cs="Noto Sans CJK SC"/>
        <w:color w:val="6D7E7A"/>
        <w:sz w:val="17"/>
        <w:szCs w:val="17"/>
      </w:rPr>
      <w:t xml:space="preserve">内部使用  |  </w:t>
    </w:r>
    <w:fldSimple w:instr=" PAGE ">
      <w:r>
        <w:rPr>
          <w:sz w:val="17"/>
        </w:rPr>
        <w:t>1</w:t>
      </w:r>
    </w:fldSimple>
    <w:r>
      <w:rPr>
        <w:rFonts w:ascii="Noto Sans CJK SC" w:hAnsi="Noto Sans CJK SC" w:eastAsia="Noto Sans CJK SC" w:cs="Noto Sans CJK SC"/>
        <w:color w:val="6D7E7A"/>
        <w:sz w:val="17"/>
        <w:szCs w:val="17"/>
      </w:rPr>
      <w:t xml:space="preserve"> / </w:t>
    </w:r>
    <w:fldSimple w:instr=" NUMPAGES ">
      <w:r>
        <w:rPr>
          <w:sz w:val="17"/>
        </w:rPr>
        <w:t>1</w:t>
      </w:r>
    </w:fldSimple>
  </w:p>
</w:ftr>
</file>

<file path=word/header1.xml><?xml version="1.0" encoding="utf-8"?>
<w:hdr xmlns:w="http://schemas.openxmlformats.org/wordprocessingml/2006/main">
  <w:p>
    <w:pPr>
      <w:pBdr>
        <w:bottom w:val="single" w:color="B7CBC6" w:sz="6" w:space="6"/>
      </w:pBdr>
      <w:jc w:val="right"/>
    </w:pPr>
    <w:r>
      <w:rPr>
        <w:rFonts w:ascii="Noto Sans CJK SC" w:hAnsi="Noto Sans CJK SC" w:eastAsia="Noto Sans CJK SC" w:cs="Noto Sans CJK SC"/>
        <w:color w:val="55706A"/>
        <w:sz w:val="17"/>
        <w:szCs w:val="17"/>
      </w:rPr>
      <w:t xml:space="preserve">ReelNova  |  生产运维与故障应急手册</w:t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 w:cs="Noto Sans CJK SC"/>
        <w:color w:val="263238"/>
        <w:sz w:val="21"/>
        <w:szCs w:val="21"/>
        <w:lang w:val="en-US" w:eastAsia="zh-CN"/>
      </w:rPr>
    </w:rPrDefault>
    <w:pPrDefault>
      <w:pPr>
        <w:spacing w:after="120" w:line="276" w:lineRule="auto"/>
      </w:pPr>
    </w:pPrDefault>
  </w:docDefaults>
  <w:style w:type="paragraph" w:styleId="Normal" w:default="true">
    <w:name w:val="正文"/>
    <w:next w:val="Normal"/>
    <w:uiPriority w:val="0"/>
    <w:qFormat/>
    <w:pPr>
      <w:widowControl/>
      <w:spacing w:after="120" w:line="276" w:lineRule="auto"/>
      <w:jc w:val="left"/>
    </w:pPr>
    <w:rPr>
      <w:rFonts w:ascii="Noto Sans CJK SC" w:hAnsi="Noto Sans CJK SC" w:eastAsia="Noto Sans CJK SC" w:cs="Noto Sans CJK SC"/>
      <w:color w:val="263238"/>
      <w:sz w:val="21"/>
      <w:szCs w:val="21"/>
    </w:rPr>
  </w:style>
  <w:style w:type="paragraph" w:styleId="Heading1" w:default="false">
    <w:name w:val="标题 1"/>
    <w:basedOn w:val="Normal"/>
    <w:next w:val="Normal"/>
    <w:uiPriority w:val="10"/>
    <w:qFormat/>
    <w:pPr>
      <w:keepNext/>
      <w:keepLines/>
      <w:pageBreakBefore/>
      <w:spacing w:before="420" w:after="120"/>
      <w:outlineLvl w:val="0"/>
    </w:pPr>
    <w:rPr>
      <w:rFonts w:ascii="Noto Sans CJK SC" w:hAnsi="Noto Sans CJK SC" w:eastAsia="Noto Sans CJK SC" w:cs="Noto Sans CJK SC"/>
      <w:b/>
      <w:color w:val="174C43"/>
      <w:sz w:val="34"/>
      <w:szCs w:val="34"/>
    </w:rPr>
  </w:style>
  <w:style w:type="paragraph" w:styleId="Heading2" w:default="false">
    <w:name w:val="标题 2"/>
    <w:basedOn w:val="Normal"/>
    <w:next w:val="Normal"/>
    <w:uiPriority w:val="10"/>
    <w:qFormat/>
    <w:pPr>
      <w:keepNext/>
      <w:keepLines/>
      <w:spacing w:before="300" w:after="100"/>
      <w:outlineLvl w:val="1"/>
    </w:pPr>
    <w:rPr>
      <w:rFonts w:ascii="Noto Sans CJK SC" w:hAnsi="Noto Sans CJK SC" w:eastAsia="Noto Sans CJK SC" w:cs="Noto Sans CJK SC"/>
      <w:b/>
      <w:color w:val="1F5F55"/>
      <w:sz w:val="28"/>
      <w:szCs w:val="28"/>
    </w:rPr>
  </w:style>
  <w:style w:type="paragraph" w:styleId="Heading3" w:default="false">
    <w:name w:val="标题 3"/>
    <w:basedOn w:val="Normal"/>
    <w:next w:val="Normal"/>
    <w:uiPriority w:val="10"/>
    <w:qFormat/>
    <w:pPr>
      <w:keepNext/>
      <w:keepLines/>
      <w:spacing w:before="220" w:after="80"/>
      <w:outlineLvl w:val="2"/>
    </w:pPr>
    <w:rPr>
      <w:rFonts w:ascii="Noto Sans CJK SC" w:hAnsi="Noto Sans CJK SC" w:eastAsia="Noto Sans CJK SC" w:cs="Noto Sans CJK SC"/>
      <w:b/>
      <w:color w:val="2E7D6E"/>
      <w:sz w:val="23"/>
      <w:szCs w:val="23"/>
    </w:rPr>
  </w:style>
  <w:style w:type="paragraph" w:styleId="Title" w:default="false">
    <w:name w:val="封面标题"/>
    <w:basedOn w:val="Normal"/>
    <w:next w:val="Normal"/>
    <w:uiPriority w:val="10"/>
    <w:qFormat/>
    <w:pPr>
      <w:spacing w:after="180"/>
      <w:jc w:val="center"/>
    </w:pPr>
    <w:rPr>
      <w:rFonts w:ascii="Noto Sans CJK SC" w:hAnsi="Noto Sans CJK SC" w:eastAsia="Noto Sans CJK SC" w:cs="Noto Sans CJK SC"/>
      <w:b/>
      <w:color w:val="173F38"/>
      <w:sz w:val="48"/>
      <w:szCs w:val="48"/>
    </w:rPr>
  </w:style>
  <w:style w:type="paragraph" w:styleId="Brand" w:default="false">
    <w:name w:val="品牌"/>
    <w:basedOn w:val="Normal"/>
    <w:next w:val="Normal"/>
    <w:uiPriority w:val="10"/>
    <w:qFormat/>
    <w:pPr>
      <w:spacing w:after="180"/>
      <w:jc w:val="center"/>
    </w:pPr>
    <w:rPr>
      <w:rFonts w:ascii="Noto Sans CJK SC" w:hAnsi="Noto Sans CJK SC" w:eastAsia="Noto Sans CJK SC" w:cs="Noto Sans CJK SC"/>
      <w:b/>
      <w:color w:val="2E7D6E"/>
      <w:sz w:val="30"/>
      <w:szCs w:val="30"/>
    </w:rPr>
  </w:style>
  <w:style w:type="paragraph" w:styleId="Subtitle" w:default="false">
    <w:name w:val="封面副标题"/>
    <w:basedOn w:val="Normal"/>
    <w:next w:val="Normal"/>
    <w:uiPriority w:val="10"/>
    <w:qFormat/>
    <w:pPr>
      <w:spacing w:after="100"/>
      <w:jc w:val="center"/>
    </w:pPr>
    <w:rPr>
      <w:rFonts w:ascii="Noto Sans CJK SC" w:hAnsi="Noto Sans CJK SC" w:eastAsia="Noto Sans CJK SC" w:cs="Noto Sans CJK SC"/>
      <w:color w:val="49615C"/>
      <w:sz w:val="26"/>
      <w:szCs w:val="26"/>
    </w:rPr>
  </w:style>
  <w:style w:type="paragraph" w:styleId="CoverMeta" w:default="false">
    <w:name w:val="封面信息"/>
    <w:basedOn w:val="Normal"/>
    <w:next w:val="Normal"/>
    <w:uiPriority w:val="10"/>
    <w:qFormat/>
    <w:pPr>
      <w:spacing w:after="80"/>
      <w:jc w:val="center"/>
    </w:pPr>
    <w:rPr>
      <w:rFonts w:ascii="Noto Sans CJK SC" w:hAnsi="Noto Sans CJK SC" w:eastAsia="Noto Sans CJK SC" w:cs="Noto Sans CJK SC"/>
      <w:color w:val="556B66"/>
      <w:sz w:val="21"/>
      <w:szCs w:val="21"/>
    </w:rPr>
  </w:style>
  <w:style w:type="paragraph" w:styleId="Classification" w:default="false">
    <w:name w:val="密级"/>
    <w:basedOn w:val="Normal"/>
    <w:next w:val="Normal"/>
    <w:uiPriority w:val="10"/>
    <w:qFormat/>
    <w:pPr>
      <w:spacing w:before="500"/>
      <w:jc w:val="center"/>
    </w:pPr>
    <w:rPr>
      <w:rFonts w:ascii="Noto Sans CJK SC" w:hAnsi="Noto Sans CJK SC" w:eastAsia="Noto Sans CJK SC" w:cs="Noto Sans CJK SC"/>
      <w:b/>
      <w:color w:val="9B2C2C"/>
      <w:sz w:val="22"/>
      <w:szCs w:val="22"/>
    </w:rPr>
  </w:style>
  <w:style w:type="paragraph" w:styleId="Bullet" w:default="false">
    <w:name w:val="项目符号"/>
    <w:basedOn w:val="Normal"/>
    <w:next w:val="Normal"/>
    <w:uiPriority w:val="10"/>
    <w:qFormat/>
    <w:pPr>
      <w:spacing w:after="60" w:line="260" w:lineRule="auto"/>
      <w:ind w:left="420" w:hanging="220"/>
    </w:pPr>
    <w:rPr>
      <w:rFonts w:ascii="Noto Sans CJK SC" w:hAnsi="Noto Sans CJK SC" w:eastAsia="Noto Sans CJK SC" w:cs="Noto Sans CJK SC"/>
      <w:color w:val="263238"/>
      <w:sz w:val="20"/>
      <w:szCs w:val="20"/>
    </w:rPr>
  </w:style>
  <w:style w:type="paragraph" w:styleId="Checklist" w:default="false">
    <w:name w:val="检查清单"/>
    <w:basedOn w:val="Normal"/>
    <w:next w:val="Normal"/>
    <w:uiPriority w:val="10"/>
    <w:qFormat/>
    <w:pPr>
      <w:spacing w:after="70" w:line="260" w:lineRule="auto"/>
      <w:ind w:left="260" w:hanging="220"/>
    </w:pPr>
    <w:rPr>
      <w:rFonts w:ascii="Noto Sans CJK SC" w:hAnsi="Noto Sans CJK SC" w:eastAsia="Noto Sans CJK SC" w:cs="Noto Sans CJK SC"/>
      <w:color w:val="263238"/>
      <w:sz w:val="20"/>
      <w:szCs w:val="20"/>
    </w:rPr>
  </w:style>
  <w:style w:type="paragraph" w:styleId="Code" w:default="false">
    <w:name w:val="命令"/>
    <w:basedOn w:val="Normal"/>
    <w:next w:val="Normal"/>
    <w:uiPriority w:val="10"/>
    <w:qFormat/>
    <w:pPr>
      <w:spacing w:before="60" w:after="80" w:line="240" w:lineRule="auto"/>
      <w:ind w:left="240" w:right="120"/>
    </w:pPr>
    <w:rPr>
      <w:rFonts w:ascii="Noto Sans CJK SC" w:hAnsi="Noto Sans CJK SC" w:eastAsia="Noto Sans CJK SC" w:cs="Noto Sans CJK SC"/>
      <w:color w:val="263238"/>
      <w:sz w:val="18"/>
      <w:szCs w:val="18"/>
    </w:rPr>
  </w:style>
  <w:style w:type="paragraph" w:styleId="TocHeading" w:default="false">
    <w:name w:val="目录标题"/>
    <w:basedOn w:val="Normal"/>
    <w:next w:val="Normal"/>
    <w:uiPriority w:val="10"/>
    <w:qFormat/>
    <w:pPr>
      <w:spacing w:after="300"/>
      <w:jc w:val="center"/>
      <w:outlineLvl w:val="0"/>
    </w:pPr>
    <w:rPr>
      <w:rFonts w:ascii="Noto Sans CJK SC" w:hAnsi="Noto Sans CJK SC" w:eastAsia="Noto Sans CJK SC" w:cs="Noto Sans CJK SC"/>
      <w:b/>
      <w:color w:val="174C43"/>
      <w:sz w:val="34"/>
      <w:szCs w:val="3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af3594a11db4dfb" /><Relationship Type="http://schemas.openxmlformats.org/officeDocument/2006/relationships/settings" Target="/word/settings.xml" Id="R3bbb48bbca094d0f" /><Relationship Type="http://schemas.openxmlformats.org/officeDocument/2006/relationships/header" Target="/word/header1.xml" Id="R30c8c3f1932d4149" /><Relationship Type="http://schemas.openxmlformats.org/officeDocument/2006/relationships/footer" Target="/word/footer1.xml" Id="Rcfbf885a113e4a43" /></Relationships>
</file>