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0eddabb2a4e4720" /><Relationship Type="http://schemas.openxmlformats.org/package/2006/relationships/metadata/core-properties" Target="/package/services/metadata/core-properties/8bca0ed3eb2b4041b08ca73bdf10eac8.psmdcp" Id="Rb1b292dee5454d15" /></Relationships>
</file>

<file path=word/document.xml><?xml version="1.0" encoding="utf-8"?>
<w:document xmlns:w="http://schemas.openxmlformats.org/wordprocessingml/2006/main">
  <w:body>
    <w:p>
      <w:pPr>
        <w:spacing w:after="1500"/>
      </w:pPr>
    </w:p>
    <w:p>
      <w:pPr>
        <w:pStyle w:val="Brand"/>
      </w:pPr>
      <w:r>
        <w:t xml:space="preserve">ReelNova</w:t>
      </w:r>
    </w:p>
    <w:p>
      <w:pPr>
        <w:pStyle w:val="Title"/>
      </w:pPr>
      <w:r>
        <w:t xml:space="preserve">生产 Secret 交接清单与轮换记录</w:t>
      </w:r>
    </w:p>
    <w:p>
      <w:pPr>
        <w:pStyle w:val="Subtitle"/>
      </w:pPr>
      <w:r>
        <w:t xml:space="preserve">海外短剧 H5 点播平台</w:t>
      </w:r>
    </w:p>
    <w:p>
      <w:pPr>
        <w:pBdr>
          <w:bottom w:val="single" w:color="2E7D6E" w:sz="18" w:space="8"/>
        </w:pBdr>
        <w:spacing w:before="180" w:after="900"/>
      </w:pPr>
      <w:r>
        <w:t> </w:t>
      </w:r>
    </w:p>
    <w:p>
      <w:pPr>
        <w:pStyle w:val="CoverMeta"/>
      </w:pPr>
      <w:r>
        <w:t xml:space="preserve">版本 V1.0</w:t>
      </w:r>
    </w:p>
    <w:p>
      <w:pPr>
        <w:pStyle w:val="CoverMeta"/>
      </w:pPr>
      <w:r>
        <w:t xml:space="preserve">编制日期 2026-09-10</w:t>
      </w:r>
    </w:p>
    <w:p>
      <w:pPr>
        <w:pStyle w:val="CoverMeta"/>
      </w:pPr>
      <w:r>
        <w:t xml:space="preserve">明文 Secret 禁止写入本文件</w:t>
      </w:r>
    </w:p>
    <w:p>
      <w:pPr>
        <w:pStyle w:val="Classification"/>
      </w:pPr>
      <w:r>
        <w:t xml:space="preserve">内部机密</w:t>
      </w:r>
    </w:p>
    <w:p>
      <w:r>
        <w:br w:type="page"/>
      </w:r>
    </w:p>
    <w:p>
      <w:pPr>
        <w:pStyle w:val="TocHeading"/>
      </w:pPr>
      <w:r>
        <w:t xml:space="preserve">目录</w:t>
      </w:r>
    </w:p>
    <w:p>
      <w:pPr>
        <w:spacing w:after="120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rFonts w:ascii="Noto Sans CJK SC" w:hAnsi="Noto Sans CJK SC" w:eastAsia="Noto Sans CJK SC" w:cs="Noto Sans CJK SC"/>
          <w:color w:val="6D7E7A"/>
          <w:sz w:val="20"/>
          <w:szCs w:val="20"/>
        </w:rPr>
        <w:t xml:space="preserve">在 Word 中更新域以生成目录</w:t>
      </w:r>
      <w:r>
        <w:fldChar w:fldCharType="end"/>
      </w:r>
    </w:p>
    <w:tbl>
      <w:tblPr>
        <w:tblW w:w="5000" w:type="pct"/>
        <w:tblBorders>
          <w:top w:val="single" w:color="2E7D6E" w:sz="6"/>
          <w:left w:val="single" w:color="2E7D6E" w:sz="14"/>
          <w:bottom w:val="single" w:color="2E7D6E" w:sz="6"/>
          <w:right w:val="nil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9360"/>
      </w:tblGrid>
      <w:tr>
        <w:trPr>
          <w:cantSplit/>
        </w:trPr>
        <w:tc>
          <w:tcPr>
            <w:shd w:val="clear" w:color="auto" w:fill="F3F5F7"/>
          </w:tcPr>
          <w:p>
            <w:pPr>
              <w:spacing w:after="0" w:line="260" w:lineRule="auto"/>
            </w:pPr>
            <w:r>
              <w:rPr>
                <w:rFonts w:ascii="Noto Sans CJK SC" w:hAnsi="Noto Sans CJK SC" w:eastAsia="Noto Sans CJK SC" w:cs="Noto Sans CJK SC"/>
                <w:b/>
                <w:color w:val="174C43"/>
                <w:sz w:val="21"/>
                <w:szCs w:val="21"/>
              </w:rPr>
              <w:t xml:space="preserve">使用提示  </w:t>
            </w:r>
            <w:r>
              <w:rPr>
                <w:rFonts w:ascii="Noto Sans CJK SC" w:hAnsi="Noto Sans CJK SC" w:eastAsia="Noto Sans CJK SC" w:cs="Noto Sans CJK SC"/>
                <w:color w:val="263238"/>
                <w:sz w:val="20"/>
                <w:szCs w:val="20"/>
              </w:rPr>
              <w:t xml:space="preserve">首次打开文档后，在目录区域选择“更新域/更新整个目录”。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文档说明</w:t>
      </w:r>
    </w:p>
    <w:tbl>
      <w:tblPr>
        <w:tblW w:w="5000" w:type="pct"/>
        <w:tblBorders>
          <w:top w:val="single" w:color="2E7D6E" w:sz="6"/>
          <w:left w:val="single" w:color="2E7D6E" w:sz="14"/>
          <w:bottom w:val="single" w:color="2E7D6E" w:sz="6"/>
          <w:right w:val="nil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9360"/>
      </w:tblGrid>
      <w:tr>
        <w:trPr>
          <w:cantSplit/>
        </w:trPr>
        <w:tc>
          <w:tcPr>
            <w:shd w:val="clear" w:color="auto" w:fill="FDECEC"/>
          </w:tcPr>
          <w:p>
            <w:pPr>
              <w:spacing w:after="0" w:line="260" w:lineRule="auto"/>
            </w:pPr>
            <w:r>
              <w:rPr>
                <w:rFonts w:ascii="Noto Sans CJK SC" w:hAnsi="Noto Sans CJK SC" w:eastAsia="Noto Sans CJK SC" w:cs="Noto Sans CJK SC"/>
                <w:b/>
                <w:color w:val="174C43"/>
                <w:sz w:val="21"/>
                <w:szCs w:val="21"/>
              </w:rPr>
              <w:t xml:space="preserve">最高规则  </w:t>
            </w:r>
            <w:r>
              <w:rPr>
                <w:rFonts w:ascii="Noto Sans CJK SC" w:hAnsi="Noto Sans CJK SC" w:eastAsia="Noto Sans CJK SC" w:cs="Noto Sans CJK SC"/>
                <w:color w:val="263238"/>
                <w:sz w:val="20"/>
                <w:szCs w:val="20"/>
              </w:rPr>
              <w:t xml:space="preserve">本文件只登记 Secret 名称、用途、责任人、保管位置和轮换证据，严禁填写值、前后缀、截图、恢复码、私钥、Cookie 或可用于还原 Secret 的线索。明文只能通过获批的密码管理器或 Secret 管理系统交接。</w:t>
            </w:r>
          </w:p>
        </w:tc>
      </w:tr>
    </w:tbl>
    <w:p>
      <w:pPr>
        <w:spacing w:after="80"/>
      </w:pPr>
    </w:p>
    <w:p>
      <w:pPr>
        <w:pStyle w:val="Normal"/>
      </w:pPr>
      <w:r>
        <w:t xml:space="preserve">本清单依据 nuxt.config.ts、wrangler.media.toml、.env.example 和项目接入文档生成。生成过程只核对变量名和项目记录，未读取或复制任何生产 Secret 值。状态列中的“待核验”表示交接时必须在生产控制台确认，而非认定缺失。</w:t>
      </w:r>
    </w:p>
    <w:tbl>
      <w:tblPr>
        <w:tblW w:w="5000" w:type="pct"/>
        <w:tblBorders>
          <w:top w:val="single" w:color="8AA8A1" w:sz="6"/>
          <w:left w:val="single" w:color="CBD8D5" w:sz="4"/>
          <w:bottom w:val="single" w:color="8AA8A1" w:sz="6"/>
          <w:right w:val="single" w:color="CBD8D5" w:sz="4"/>
          <w:insideH w:val="single" w:color="CBD8D5" w:sz="4"/>
          <w:insideV w:val="single" w:color="CBD8D5" w:sz="4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800"/>
        <w:gridCol w:w="7560"/>
      </w:tblGrid>
      <w:tr>
        <w:trPr>
          <w:cantSplit/>
          <w:tblHeader/>
        </w:trPr>
        <w:tc>
          <w:tcPr>
            <w:tcW w:w="1800" w:type="dxa"/>
            <w:shd w:val="clear" w:color="auto" w:fill="174C43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w="7560" w:type="dxa"/>
            <w:shd w:val="clear" w:color="auto" w:fill="174C43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szCs w:val="18"/>
              </w:rPr>
              <w:t xml:space="preserve">要求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Secret 值</w:t>
            </w:r>
          </w:p>
        </w:tc>
        <w:tc>
          <w:tcPr>
            <w:tcW w:w="756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不得出现在本文、Git、普通网盘、邮件、工单正文、聊天或截图中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4F7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交接方式</w:t>
            </w:r>
          </w:p>
        </w:tc>
        <w:tc>
          <w:tcPr>
            <w:tcW w:w="7560" w:type="dxa"/>
            <w:shd w:val="clear" w:color="auto" w:fill="F4F7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优先共享企业密码库条目或赋予平台权限；不得通过同一消息同时发送账号和 Secret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最小权限</w:t>
            </w:r>
          </w:p>
        </w:tc>
        <w:tc>
          <w:tcPr>
            <w:tcW w:w="756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人员和机器账号分离；生产/测试分离；Token 限定账户、Zone、资源和操作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4F7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双人控制</w:t>
            </w:r>
          </w:p>
        </w:tc>
        <w:tc>
          <w:tcPr>
            <w:tcW w:w="7560" w:type="dxa"/>
            <w:shd w:val="clear" w:color="auto" w:fill="F4F7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Cloudflare/PayPal 高权限、恢复、吊销和 break-glass 操作由执行人与复核人共同确认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离岗与泄露</w:t>
            </w:r>
          </w:p>
        </w:tc>
        <w:tc>
          <w:tcPr>
            <w:tcW w:w="756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立即移除人员访问；疑似泄露不等待周期，先吊销/轮换再调查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4F7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时间</w:t>
            </w:r>
          </w:p>
        </w:tc>
        <w:tc>
          <w:tcPr>
            <w:tcW w:w="7560" w:type="dxa"/>
            <w:shd w:val="clear" w:color="auto" w:fill="F4F7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创建、轮换、验证和下次到期均用 UTC ISO 8601；可另注 Asia/Shanghai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1. 责任人与保管系统</w:t>
      </w:r>
    </w:p>
    <w:tbl>
      <w:tblPr>
        <w:tblW w:w="5000" w:type="pct"/>
        <w:tblBorders>
          <w:top w:val="single" w:color="8AA8A1" w:sz="6"/>
          <w:left w:val="single" w:color="CBD8D5" w:sz="4"/>
          <w:bottom w:val="single" w:color="8AA8A1" w:sz="6"/>
          <w:right w:val="single" w:color="CBD8D5" w:sz="4"/>
          <w:insideH w:val="single" w:color="CBD8D5" w:sz="4"/>
          <w:insideV w:val="single" w:color="CBD8D5" w:sz="4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3300"/>
        <w:gridCol w:w="6060"/>
      </w:tblGrid>
      <w:tr>
        <w:trPr>
          <w:cantSplit/>
          <w:tblHeader/>
        </w:trPr>
        <w:tc>
          <w:tcPr>
            <w:tcW w:w="3300" w:type="dxa"/>
            <w:shd w:val="clear" w:color="auto" w:fill="174C43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w="6060" w:type="dxa"/>
            <w:shd w:val="clear" w:color="auto" w:fill="174C43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szCs w:val="18"/>
              </w:rPr>
              <w:t xml:space="preserve">交接填写</w:t>
            </w:r>
          </w:p>
        </w:tc>
      </w:tr>
      <w:tr>
        <w:trPr>
          <w:cantSplit/>
        </w:trPr>
        <w:tc>
          <w:tcPr>
            <w:tcW w:w="330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Secret 总负责人</w:t>
            </w:r>
          </w:p>
        </w:tc>
        <w:tc>
          <w:tcPr>
            <w:tcW w:w="606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待填写（姓名、岗位、电话）</w:t>
            </w:r>
          </w:p>
        </w:tc>
      </w:tr>
      <w:tr>
        <w:trPr>
          <w:cantSplit/>
        </w:trPr>
        <w:tc>
          <w:tcPr>
            <w:tcW w:w="3300" w:type="dxa"/>
            <w:shd w:val="clear" w:color="auto" w:fill="F4F7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Cloudflare 负责人/备份负责人</w:t>
            </w:r>
          </w:p>
        </w:tc>
        <w:tc>
          <w:tcPr>
            <w:tcW w:w="6060" w:type="dxa"/>
            <w:shd w:val="clear" w:color="auto" w:fill="F4F7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待填写 / 待填写</w:t>
            </w:r>
          </w:p>
        </w:tc>
      </w:tr>
      <w:tr>
        <w:trPr>
          <w:cantSplit/>
        </w:trPr>
        <w:tc>
          <w:tcPr>
            <w:tcW w:w="330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PayPal 商户负责人/备份负责人</w:t>
            </w:r>
          </w:p>
        </w:tc>
        <w:tc>
          <w:tcPr>
            <w:tcW w:w="606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待填写 / 待填写</w:t>
            </w:r>
          </w:p>
        </w:tc>
      </w:tr>
      <w:tr>
        <w:trPr>
          <w:cantSplit/>
        </w:trPr>
        <w:tc>
          <w:tcPr>
            <w:tcW w:w="3300" w:type="dxa"/>
            <w:shd w:val="clear" w:color="auto" w:fill="F4F7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企业密码管理器/保管库</w:t>
            </w:r>
          </w:p>
        </w:tc>
        <w:tc>
          <w:tcPr>
            <w:tcW w:w="6060" w:type="dxa"/>
            <w:shd w:val="clear" w:color="auto" w:fill="F4F7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待填写（产品、Vault、条目路径；不得填写值）</w:t>
            </w:r>
          </w:p>
        </w:tc>
      </w:tr>
      <w:tr>
        <w:trPr>
          <w:cantSplit/>
        </w:trPr>
        <w:tc>
          <w:tcPr>
            <w:tcW w:w="330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部署 Secret 存储</w:t>
            </w:r>
          </w:p>
        </w:tc>
        <w:tc>
          <w:tcPr>
            <w:tcW w:w="606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待填写（Cloudflare Pages/Workers 项目和环境）</w:t>
            </w:r>
          </w:p>
        </w:tc>
      </w:tr>
      <w:tr>
        <w:trPr>
          <w:cantSplit/>
        </w:trPr>
        <w:tc>
          <w:tcPr>
            <w:tcW w:w="3300" w:type="dxa"/>
            <w:shd w:val="clear" w:color="auto" w:fill="F4F7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break-glass 账号与恢复材料保管位置</w:t>
            </w:r>
          </w:p>
        </w:tc>
        <w:tc>
          <w:tcPr>
            <w:tcW w:w="6060" w:type="dxa"/>
            <w:shd w:val="clear" w:color="auto" w:fill="F4F7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待填写（双人可达、使用即告警）</w:t>
            </w:r>
          </w:p>
        </w:tc>
      </w:tr>
      <w:tr>
        <w:trPr>
          <w:cantSplit/>
        </w:trPr>
        <w:tc>
          <w:tcPr>
            <w:tcW w:w="330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安全事件与审批工单系统</w:t>
            </w:r>
          </w:p>
        </w:tc>
        <w:tc>
          <w:tcPr>
            <w:tcW w:w="606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待填写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2. Secret 资产清单</w:t>
      </w:r>
    </w:p>
    <w:tbl>
      <w:tblPr>
        <w:tblW w:w="5000" w:type="pct"/>
        <w:tblBorders>
          <w:top w:val="single" w:color="2E7D6E" w:sz="6"/>
          <w:left w:val="single" w:color="2E7D6E" w:sz="14"/>
          <w:bottom w:val="single" w:color="2E7D6E" w:sz="6"/>
          <w:right w:val="nil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9360"/>
      </w:tblGrid>
      <w:tr>
        <w:trPr>
          <w:cantSplit/>
        </w:trPr>
        <w:tc>
          <w:tcPr>
            <w:shd w:val="clear" w:color="auto" w:fill="FFF4CE"/>
          </w:tcPr>
          <w:p>
            <w:pPr>
              <w:spacing w:after="0" w:line="260" w:lineRule="auto"/>
            </w:pPr>
            <w:r>
              <w:rPr>
                <w:rFonts w:ascii="Noto Sans CJK SC" w:hAnsi="Noto Sans CJK SC" w:eastAsia="Noto Sans CJK SC" w:cs="Noto Sans CJK SC"/>
                <w:b/>
                <w:color w:val="174C43"/>
                <w:sz w:val="21"/>
                <w:szCs w:val="21"/>
              </w:rPr>
              <w:t xml:space="preserve">上线阻断项  </w:t>
            </w:r>
            <w:r>
              <w:rPr>
                <w:rFonts w:ascii="Noto Sans CJK SC" w:hAnsi="Noto Sans CJK SC" w:eastAsia="Noto Sans CJK SC" w:cs="Noto Sans CJK SC"/>
                <w:color w:val="263238"/>
                <w:sz w:val="20"/>
                <w:szCs w:val="20"/>
              </w:rPr>
              <w:t xml:space="preserve">代码存在开发用 bootstrap 默认管理员凭据和开发签名回退。生产环境必须显式覆盖 SUPER_ADMIN_PASSWORD、ADMIN_SESSION_SECRET、ADMIN_CREDENTIAL_SECRET、USER_SESSION_SECRET；完成 D1 管理员账号迁移并验证 Cloudflare Access 后才能交付。本文不重复默认值。</w:t>
            </w:r>
          </w:p>
        </w:tc>
      </w:tr>
    </w:tbl>
    <w:p>
      <w:pPr>
        <w:spacing w:after="80"/>
      </w:pPr>
    </w:p>
    <w:tbl>
      <w:tblPr>
        <w:tblW w:w="5000" w:type="pct"/>
        <w:tblBorders>
          <w:top w:val="single" w:color="8AA8A1" w:sz="6"/>
          <w:left w:val="single" w:color="CBD8D5" w:sz="4"/>
          <w:bottom w:val="single" w:color="8AA8A1" w:sz="6"/>
          <w:right w:val="single" w:color="CBD8D5" w:sz="4"/>
          <w:insideH w:val="single" w:color="CBD8D5" w:sz="4"/>
          <w:insideV w:val="single" w:color="CBD8D5" w:sz="4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00"/>
        <w:gridCol w:w="2750"/>
        <w:gridCol w:w="1900"/>
        <w:gridCol w:w="1300"/>
        <w:gridCol w:w="1510"/>
      </w:tblGrid>
      <w:tr>
        <w:trPr>
          <w:cantSplit/>
          <w:tblHeader/>
        </w:trPr>
        <w:tc>
          <w:tcPr>
            <w:tcW w:w="1900" w:type="dxa"/>
            <w:shd w:val="clear" w:color="auto" w:fill="174C43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szCs w:val="16"/>
              </w:rPr>
              <w:t xml:space="preserve">Secret/凭据</w:t>
            </w:r>
          </w:p>
        </w:tc>
        <w:tc>
          <w:tcPr>
            <w:tcW w:w="2750" w:type="dxa"/>
            <w:shd w:val="clear" w:color="auto" w:fill="174C43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szCs w:val="16"/>
              </w:rPr>
              <w:t xml:space="preserve">用途与依赖</w:t>
            </w:r>
          </w:p>
        </w:tc>
        <w:tc>
          <w:tcPr>
            <w:tcW w:w="1900" w:type="dxa"/>
            <w:shd w:val="clear" w:color="auto" w:fill="174C43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szCs w:val="16"/>
              </w:rPr>
              <w:t xml:space="preserve">应存位置</w:t>
            </w:r>
          </w:p>
        </w:tc>
        <w:tc>
          <w:tcPr>
            <w:tcW w:w="1300" w:type="dxa"/>
            <w:shd w:val="clear" w:color="auto" w:fill="174C43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szCs w:val="16"/>
              </w:rPr>
              <w:t xml:space="preserve">建议周期</w:t>
            </w:r>
          </w:p>
        </w:tc>
        <w:tc>
          <w:tcPr>
            <w:tcW w:w="1510" w:type="dxa"/>
            <w:shd w:val="clear" w:color="auto" w:fill="174C43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szCs w:val="16"/>
              </w:rPr>
              <w:t xml:space="preserve">当前交接状态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CLOUDFLARE_API_TOKEN</w:t>
            </w:r>
          </w:p>
        </w:tc>
        <w:tc>
          <w:tcPr>
            <w:tcW w:w="275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D1/Stream/Zone 等 API；媒体 Worker 也使用。按用途拆分 Token，避免共用超权 Token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运维 Vault；需要时分别注入部署和 media Worker</w:t>
            </w:r>
          </w:p>
        </w:tc>
        <w:tc>
          <w:tcPr>
            <w:tcW w:w="13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90 天或平台允许的更短周期</w:t>
            </w:r>
          </w:p>
        </w:tc>
        <w:tc>
          <w:tcPr>
            <w:tcW w:w="151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项目记录：已配置，Redirect Rules 权限不足；待拆分/复核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CLOUDFLARE_MEDIA_WORKER_SECRET ↔ MEDIA_WORKER_SECRET</w:t>
            </w:r>
          </w:p>
        </w:tc>
        <w:tc>
          <w:tcPr>
            <w:tcW w:w="275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Nuxt 与媒体 Worker 共享鉴权；两端值必须一致</w:t>
            </w:r>
          </w:p>
        </w:tc>
        <w:tc>
          <w:tcPr>
            <w:tcW w:w="19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Nuxt 生产 Secret + media Worker encrypted secret</w:t>
            </w:r>
          </w:p>
        </w:tc>
        <w:tc>
          <w:tcPr>
            <w:tcW w:w="13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90 天；泄露立即</w:t>
            </w:r>
          </w:p>
        </w:tc>
        <w:tc>
          <w:tcPr>
            <w:tcW w:w="151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项目记录：待部署/配置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CLOUDFLARE_MEDIA_SIGNING_SECRET</w:t>
            </w:r>
          </w:p>
        </w:tc>
        <w:tc>
          <w:tcPr>
            <w:tcW w:w="275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播放授权、设备/IP/UA HMAC 和跟踪签名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Nuxt 生产 Secret</w:t>
            </w:r>
          </w:p>
        </w:tc>
        <w:tc>
          <w:tcPr>
            <w:tcW w:w="13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90-180 天；泄露立即</w:t>
            </w:r>
          </w:p>
        </w:tc>
        <w:tc>
          <w:tcPr>
            <w:tcW w:w="151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待核验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CLOUDFLARE_STREAM_WEBHOOK_SECRET</w:t>
            </w:r>
          </w:p>
        </w:tc>
        <w:tc>
          <w:tcPr>
            <w:tcW w:w="275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Stream Webhook 验签</w:t>
            </w:r>
          </w:p>
        </w:tc>
        <w:tc>
          <w:tcPr>
            <w:tcW w:w="19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Nuxt 生产 Secret</w:t>
            </w:r>
          </w:p>
        </w:tc>
        <w:tc>
          <w:tcPr>
            <w:tcW w:w="13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按供应商能力 180 天；泄露立即</w:t>
            </w:r>
          </w:p>
        </w:tc>
        <w:tc>
          <w:tcPr>
            <w:tcW w:w="151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项目记录：尚未配置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PAYPAL_SANDBOX_SECRET</w:t>
            </w:r>
          </w:p>
        </w:tc>
        <w:tc>
          <w:tcPr>
            <w:tcW w:w="275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PayPal Sandbox 服务端 OAuth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非生产隔离 Vault/环境</w:t>
            </w:r>
          </w:p>
        </w:tc>
        <w:tc>
          <w:tcPr>
            <w:tcW w:w="13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180 天或供应商策略</w:t>
            </w:r>
          </w:p>
        </w:tc>
        <w:tc>
          <w:tcPr>
            <w:tcW w:w="151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待商户确认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PAYPAL_PRODUCTION_SECRET</w:t>
            </w:r>
          </w:p>
        </w:tc>
        <w:tc>
          <w:tcPr>
            <w:tcW w:w="275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PayPal Live 服务端 OAuth、capture/退款/Webhook 验证</w:t>
            </w:r>
          </w:p>
        </w:tc>
        <w:tc>
          <w:tcPr>
            <w:tcW w:w="19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生产支付 Vault + Nuxt 生产 Secret</w:t>
            </w:r>
          </w:p>
        </w:tc>
        <w:tc>
          <w:tcPr>
            <w:tcW w:w="13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90-180 天；人员变更/泄露立即</w:t>
            </w:r>
          </w:p>
        </w:tc>
        <w:tc>
          <w:tcPr>
            <w:tcW w:w="151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项目记录：待商户确认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PAYPAL_SECRET</w:t>
            </w:r>
          </w:p>
        </w:tc>
        <w:tc>
          <w:tcPr>
            <w:tcW w:w="275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旧版环境回退；仅在确有兼容需要时保留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Nuxt 生产 Secret</w:t>
            </w:r>
          </w:p>
        </w:tc>
        <w:tc>
          <w:tcPr>
            <w:tcW w:w="13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与实际指向环境同步</w:t>
            </w:r>
          </w:p>
        </w:tc>
        <w:tc>
          <w:tcPr>
            <w:tcW w:w="151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待判断是否可下线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ADMIN_SESSION_SECRET</w:t>
            </w:r>
          </w:p>
        </w:tc>
        <w:tc>
          <w:tcPr>
            <w:tcW w:w="275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管理员 HttpOnly 会话签名</w:t>
            </w:r>
          </w:p>
        </w:tc>
        <w:tc>
          <w:tcPr>
            <w:tcW w:w="19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Nuxt 生产 Secret</w:t>
            </w:r>
          </w:p>
        </w:tc>
        <w:tc>
          <w:tcPr>
            <w:tcW w:w="13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90 天；泄露立即</w:t>
            </w:r>
          </w:p>
        </w:tc>
        <w:tc>
          <w:tcPr>
            <w:tcW w:w="151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待核验；生产须显式配置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ADMIN_CREDENTIAL_SECRET</w:t>
            </w:r>
          </w:p>
        </w:tc>
        <w:tc>
          <w:tcPr>
            <w:tcW w:w="275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管理员密码 verifier 加密；轮换会要求重置管理员凭据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Nuxt 生产 Secret</w:t>
            </w:r>
          </w:p>
        </w:tc>
        <w:tc>
          <w:tcPr>
            <w:tcW w:w="13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谨慎按计划轮换；泄露立即</w:t>
            </w:r>
          </w:p>
        </w:tc>
        <w:tc>
          <w:tcPr>
            <w:tcW w:w="151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待核验；生产须显式配置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USER_SESSION_SECRET</w:t>
            </w:r>
          </w:p>
        </w:tc>
        <w:tc>
          <w:tcPr>
            <w:tcW w:w="275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用户会话签名及安全哈希</w:t>
            </w:r>
          </w:p>
        </w:tc>
        <w:tc>
          <w:tcPr>
            <w:tcW w:w="19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Nuxt 生产 Secret</w:t>
            </w:r>
          </w:p>
        </w:tc>
        <w:tc>
          <w:tcPr>
            <w:tcW w:w="13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90 天；泄露立即</w:t>
            </w:r>
          </w:p>
        </w:tc>
        <w:tc>
          <w:tcPr>
            <w:tcW w:w="151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待核验；生产须显式配置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SUPER_ADMIN_PASSWORD</w:t>
            </w:r>
          </w:p>
        </w:tc>
        <w:tc>
          <w:tcPr>
            <w:tcW w:w="275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首次引导超级管理员；账号建立后不应作为长期共享密码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企业密码库；必要时短期注入</w:t>
            </w:r>
          </w:p>
        </w:tc>
        <w:tc>
          <w:tcPr>
            <w:tcW w:w="13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首次上线立即更改；使用/人员变更即换</w:t>
            </w:r>
          </w:p>
        </w:tc>
        <w:tc>
          <w:tcPr>
            <w:tcW w:w="151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必须替换 bootstrap 默认并验证 D1 账号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Cloudflare/PayPal/break-glass 人员账号</w:t>
            </w:r>
          </w:p>
        </w:tc>
        <w:tc>
          <w:tcPr>
            <w:tcW w:w="275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控制台高权限、账单、恢复与吊销</w:t>
            </w:r>
          </w:p>
        </w:tc>
        <w:tc>
          <w:tcPr>
            <w:tcW w:w="19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企业 IdP + MFA；恢复码离线双人保管</w:t>
            </w:r>
          </w:p>
        </w:tc>
        <w:tc>
          <w:tcPr>
            <w:tcW w:w="13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季度权限复核；人员变更立即</w:t>
            </w:r>
          </w:p>
        </w:tc>
        <w:tc>
          <w:tcPr>
            <w:tcW w:w="151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待填写账号清单，禁止共享个人账号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3. 非 Secret 配置索引</w:t>
      </w:r>
    </w:p>
    <w:p>
      <w:pPr>
        <w:pStyle w:val="Normal"/>
      </w:pPr>
      <w:r>
        <w:t xml:space="preserve">下列值可能仍属于内部配置或敏感元数据，但通常不具备独立认证能力。它们可以登记在配置清单中，不应与真正的 Secret 混淆，也不需要按密码轮换。访问权限仍按最小披露管理。</w:t>
      </w:r>
    </w:p>
    <w:tbl>
      <w:tblPr>
        <w:tblW w:w="5000" w:type="pct"/>
        <w:tblBorders>
          <w:top w:val="single" w:color="8AA8A1" w:sz="6"/>
          <w:left w:val="single" w:color="CBD8D5" w:sz="4"/>
          <w:bottom w:val="single" w:color="8AA8A1" w:sz="6"/>
          <w:right w:val="single" w:color="CBD8D5" w:sz="4"/>
          <w:insideH w:val="single" w:color="CBD8D5" w:sz="4"/>
          <w:insideV w:val="single" w:color="CBD8D5" w:sz="4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400"/>
        <w:gridCol w:w="6960"/>
      </w:tblGrid>
      <w:tr>
        <w:trPr>
          <w:cantSplit/>
          <w:tblHeader/>
        </w:trPr>
        <w:tc>
          <w:tcPr>
            <w:tcW w:w="2400" w:type="dxa"/>
            <w:shd w:val="clear" w:color="auto" w:fill="174C43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szCs w:val="18"/>
              </w:rPr>
              <w:t xml:space="preserve">类别</w:t>
            </w:r>
          </w:p>
        </w:tc>
        <w:tc>
          <w:tcPr>
            <w:tcW w:w="6960" w:type="dxa"/>
            <w:shd w:val="clear" w:color="auto" w:fill="174C43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szCs w:val="18"/>
              </w:rPr>
              <w:t xml:space="preserve">变量/资源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Cloudflare 标识</w:t>
            </w:r>
          </w:p>
        </w:tc>
        <w:tc>
          <w:tcPr>
            <w:tcW w:w="696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CLOUDFLARE_ACCOUNT_ID、CLOUDFLARE_D1_DATABASE_ID、CLOUDFLARE_ZONE_ID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4F7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公开/服务地址</w:t>
            </w:r>
          </w:p>
        </w:tc>
        <w:tc>
          <w:tcPr>
            <w:tcW w:w="6960" w:type="dxa"/>
            <w:shd w:val="clear" w:color="auto" w:fill="F4F7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APP_BASE_URL、NUXT_PUBLIC_API_BASE、CLOUDFLARE_MEDIA_WORKER_URL、CLOUDFLARE_STREAM_WEBHOOK_URL、PAYPAL_WEBHOOK_URL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PayPal 公共标识</w:t>
            </w:r>
          </w:p>
        </w:tc>
        <w:tc>
          <w:tcPr>
            <w:tcW w:w="696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PAYPAL_*_CLIENT_ID、NUXT_PUBLIC_PAYPAL_*_CLIENT_ID、PAYPAL_*_WEBHOOK_ID、PAYPAL_ENVIRONMENT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4F7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Stream/域名配置</w:t>
            </w:r>
          </w:p>
        </w:tc>
        <w:tc>
          <w:tcPr>
            <w:tcW w:w="6960" w:type="dxa"/>
            <w:shd w:val="clear" w:color="auto" w:fill="F4F7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CLOUDFLARE_STREAM_CUSTOMER_CODE、CLOUDFLARE_FOR_SAAS_ENABLED、CLOUDFLARE_DOMAIN_CNAME_TARGET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Access/管理员资料</w:t>
            </w:r>
          </w:p>
        </w:tc>
        <w:tc>
          <w:tcPr>
            <w:tcW w:w="696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CLOUDFLARE_ACCESS_TEAM_DOMAIN、CLOUDFLARE_ACCESS_AUDIENCE、SUPER_ADMIN_EMAIL、SUPER_ADMIN_NAME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4F7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公开变量规则</w:t>
            </w:r>
          </w:p>
        </w:tc>
        <w:tc>
          <w:tcPr>
            <w:tcW w:w="6960" w:type="dxa"/>
            <w:shd w:val="clear" w:color="auto" w:fill="F4F7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任何 NUXT_PUBLIC_* 都会进入客户端，绝对不能放 Client Secret、Token、签名密钥或密码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4. 交接步骤与验收</w:t>
      </w:r>
    </w:p>
    <w:p>
      <w:pPr>
        <w:pStyle w:val="Heading2"/>
      </w:pPr>
      <w:r>
        <w:t xml:space="preserve">4.1 交付方</w:t>
      </w:r>
    </w:p>
    <w:p>
      <w:pPr>
        <w:pStyle w:val="Checklist"/>
      </w:pPr>
      <w:r>
        <w:t xml:space="preserve">□ 为每个 Secret 建立唯一 Vault 条目，登记变量名、环境、系统、创建者、最后轮换、到期日、权限范围和应急吊销地址，不登记值到本文。</w:t>
      </w:r>
    </w:p>
    <w:p>
      <w:pPr>
        <w:pStyle w:val="Checklist"/>
      </w:pPr>
      <w:r>
        <w:t xml:space="preserve">□ 清理离职/临时人员、个人 Token 和历史共享账号；Cloudflare 与 PayPal 管理员启用抗钓鱼 MFA/硬件密钥并配置双人备份。</w:t>
      </w:r>
    </w:p>
    <w:p>
      <w:pPr>
        <w:pStyle w:val="Checklist"/>
      </w:pPr>
      <w:r>
        <w:t xml:space="preserve">□ 核对部署环境和媒体 Worker 的 Secret 名称；共享媒体 Secret 两端一致；生产与 Sandbox 不复用。</w:t>
      </w:r>
    </w:p>
    <w:p>
      <w:pPr>
        <w:pStyle w:val="Checklist"/>
      </w:pPr>
      <w:r>
        <w:t xml:space="preserve">□ 提供最近一次轮换和验证证据、供应商审计日志、break-glass 流程以及失效/恢复方式。</w:t>
      </w:r>
    </w:p>
    <w:p>
      <w:pPr>
        <w:pStyle w:val="Checklist"/>
      </w:pPr>
      <w:r>
        <w:t xml:space="preserve">□ 在接收方完成独立登录和验证后，再撤销交付方不再需要的权限；避免先撤权造成无法恢复。</w:t>
      </w:r>
    </w:p>
    <w:p>
      <w:pPr>
        <w:pStyle w:val="Heading2"/>
      </w:pPr>
      <w:r>
        <w:t xml:space="preserve">4.2 接收方独立验收</w:t>
      </w:r>
    </w:p>
    <w:p>
      <w:pPr>
        <w:pStyle w:val="Checklist"/>
      </w:pPr>
      <w:r>
        <w:t xml:space="preserve">□ 能够通过自己的实名账号和 MFA 访问 Cloudflare、PayPal、Vault、部署项目、D1、R2、Stream 和日志，但不能查看超出职责的资源。</w:t>
      </w:r>
    </w:p>
    <w:p>
      <w:pPr>
        <w:pStyle w:val="Checklist"/>
      </w:pPr>
      <w:r>
        <w:t xml:space="preserve">□ 运行 npm run check:domains、npm run check:production；在 /admin/system 确认 D1、PayPal、媒体 Worker、Stream Webhook 和播放签名状态。</w:t>
      </w:r>
    </w:p>
    <w:p>
      <w:pPr>
        <w:pStyle w:val="Checklist"/>
      </w:pPr>
      <w:r>
        <w:t xml:space="preserve">□ 验证管理员登录、用户会话、Sandbox 支付/权益、上传、Stream 回调和已购播放；不得为测试输出 Secret。</w:t>
      </w:r>
    </w:p>
    <w:p>
      <w:pPr>
        <w:pStyle w:val="Checklist"/>
      </w:pPr>
      <w:r>
        <w:t xml:space="preserve">□ 核对审计日志能识别执行人；测试 P0 通知和 break-glass 取用告警；确认旧账号和旧 Token 已撤销。</w:t>
      </w:r>
    </w:p>
    <w:p>
      <w:pPr>
        <w:pStyle w:val="Checklist"/>
      </w:pPr>
      <w:r>
        <w:t xml:space="preserve">□ 签署交接表；未完成或存在未知 Secret 的项目必须列为风险和上线阻断项。</w:t>
      </w:r>
    </w:p>
    <w:p>
      <w:r>
        <w:br w:type="page"/>
      </w:r>
    </w:p>
    <w:p>
      <w:pPr>
        <w:pStyle w:val="Heading2"/>
      </w:pPr>
      <w:r>
        <w:t xml:space="preserve">4.3 交接签署表</w:t>
      </w:r>
    </w:p>
    <w:tbl>
      <w:tblPr>
        <w:tblW w:w="5000" w:type="pct"/>
        <w:tblBorders>
          <w:top w:val="single" w:color="8AA8A1" w:sz="6"/>
          <w:left w:val="single" w:color="CBD8D5" w:sz="4"/>
          <w:bottom w:val="single" w:color="8AA8A1" w:sz="6"/>
          <w:right w:val="single" w:color="CBD8D5" w:sz="4"/>
          <w:insideH w:val="single" w:color="CBD8D5" w:sz="4"/>
          <w:insideV w:val="single" w:color="CBD8D5" w:sz="4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600"/>
        <w:gridCol w:w="1700"/>
        <w:gridCol w:w="1100"/>
        <w:gridCol w:w="1100"/>
        <w:gridCol w:w="1100"/>
        <w:gridCol w:w="1600"/>
        <w:gridCol w:w="1160"/>
      </w:tblGrid>
      <w:tr>
        <w:trPr>
          <w:cantSplit/>
          <w:tblHeader/>
        </w:trPr>
        <w:tc>
          <w:tcPr>
            <w:tcW w:w="1600" w:type="dxa"/>
            <w:shd w:val="clear" w:color="auto" w:fill="174C43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szCs w:val="16"/>
              </w:rPr>
              <w:t xml:space="preserve">交接范围</w:t>
            </w:r>
          </w:p>
        </w:tc>
        <w:tc>
          <w:tcPr>
            <w:tcW w:w="1700" w:type="dxa"/>
            <w:shd w:val="clear" w:color="auto" w:fill="174C43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szCs w:val="16"/>
              </w:rPr>
              <w:t xml:space="preserve">Vault/平台路径（不含值）</w:t>
            </w:r>
          </w:p>
        </w:tc>
        <w:tc>
          <w:tcPr>
            <w:tcW w:w="1100" w:type="dxa"/>
            <w:shd w:val="clear" w:color="auto" w:fill="174C43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szCs w:val="16"/>
              </w:rPr>
              <w:t xml:space="preserve">交付人</w:t>
            </w:r>
          </w:p>
        </w:tc>
        <w:tc>
          <w:tcPr>
            <w:tcW w:w="1100" w:type="dxa"/>
            <w:shd w:val="clear" w:color="auto" w:fill="174C43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szCs w:val="16"/>
              </w:rPr>
              <w:t xml:space="preserve">接收人</w:t>
            </w:r>
          </w:p>
        </w:tc>
        <w:tc>
          <w:tcPr>
            <w:tcW w:w="1100" w:type="dxa"/>
            <w:shd w:val="clear" w:color="auto" w:fill="174C43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szCs w:val="16"/>
              </w:rPr>
              <w:t xml:space="preserve">复核人</w:t>
            </w:r>
          </w:p>
        </w:tc>
        <w:tc>
          <w:tcPr>
            <w:tcW w:w="1600" w:type="dxa"/>
            <w:shd w:val="clear" w:color="auto" w:fill="174C43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szCs w:val="16"/>
              </w:rPr>
              <w:t xml:space="preserve">时间/工单</w:t>
            </w:r>
          </w:p>
        </w:tc>
        <w:tc>
          <w:tcPr>
            <w:tcW w:w="1160" w:type="dxa"/>
            <w:shd w:val="clear" w:color="auto" w:fill="174C43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szCs w:val="16"/>
              </w:rPr>
              <w:t xml:space="preserve">结果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Cloudflare 平台与 Token</w:t>
            </w:r>
          </w:p>
        </w:tc>
        <w:tc>
          <w:tcPr>
            <w:tcW w:w="17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11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11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11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116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Nuxt 部署 Secret</w:t>
            </w:r>
          </w:p>
        </w:tc>
        <w:tc>
          <w:tcPr>
            <w:tcW w:w="17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11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11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11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16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116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媒体 Worker Secret</w:t>
            </w:r>
          </w:p>
        </w:tc>
        <w:tc>
          <w:tcPr>
            <w:tcW w:w="17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11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11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11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116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PayPal Sandbox/Live</w:t>
            </w:r>
          </w:p>
        </w:tc>
        <w:tc>
          <w:tcPr>
            <w:tcW w:w="17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11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11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11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16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116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管理员/用户签名密钥</w:t>
            </w:r>
          </w:p>
        </w:tc>
        <w:tc>
          <w:tcPr>
            <w:tcW w:w="17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11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11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11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116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break-glass 与恢复码</w:t>
            </w:r>
          </w:p>
        </w:tc>
        <w:tc>
          <w:tcPr>
            <w:tcW w:w="17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11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11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11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16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116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5. 轮换流程</w:t>
      </w:r>
    </w:p>
    <w:p>
      <w:pPr>
        <w:pStyle w:val="Heading2"/>
      </w:pPr>
      <w:r>
        <w:t xml:space="preserve">5.1 通用流程</w:t>
      </w:r>
    </w:p>
    <w:tbl>
      <w:tblPr>
        <w:tblW w:w="5000" w:type="pct"/>
        <w:tblBorders>
          <w:top w:val="single" w:color="8AA8A1" w:sz="6"/>
          <w:left w:val="single" w:color="CBD8D5" w:sz="4"/>
          <w:bottom w:val="single" w:color="8AA8A1" w:sz="6"/>
          <w:right w:val="single" w:color="CBD8D5" w:sz="4"/>
          <w:insideH w:val="single" w:color="CBD8D5" w:sz="4"/>
          <w:insideV w:val="single" w:color="CBD8D5" w:sz="4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400"/>
        <w:gridCol w:w="7960"/>
      </w:tblGrid>
      <w:tr>
        <w:trPr>
          <w:cantSplit/>
          <w:tblHeader/>
        </w:trPr>
        <w:tc>
          <w:tcPr>
            <w:tcW w:w="1400" w:type="dxa"/>
            <w:shd w:val="clear" w:color="auto" w:fill="174C43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w="7960" w:type="dxa"/>
            <w:shd w:val="clear" w:color="auto" w:fill="174C43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szCs w:val="18"/>
              </w:rPr>
              <w:t xml:space="preserve">动作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准备</w:t>
            </w:r>
          </w:p>
        </w:tc>
        <w:tc>
          <w:tcPr>
            <w:tcW w:w="796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建工单；识别生产/测试、所有消费者、回调与回滚方式；记录旧凭据 ID/指纹而非值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4F7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创建</w:t>
            </w:r>
          </w:p>
        </w:tc>
        <w:tc>
          <w:tcPr>
            <w:tcW w:w="7960" w:type="dxa"/>
            <w:shd w:val="clear" w:color="auto" w:fill="F4F7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由供应商/密码生成器创建高熵新 Secret；存入 Vault；不得落盘或进入 shell history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部署</w:t>
            </w:r>
          </w:p>
        </w:tc>
        <w:tc>
          <w:tcPr>
            <w:tcW w:w="796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有双凭据能力时先加新再切换；无双凭据能力时安排维护窗并协调生产者/消费者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4F7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验证</w:t>
            </w:r>
          </w:p>
        </w:tc>
        <w:tc>
          <w:tcPr>
            <w:tcW w:w="7960" w:type="dxa"/>
            <w:shd w:val="clear" w:color="auto" w:fill="F4F7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执行针对性健康检查和业务抽检；核对失败率与审计日志；保持观察窗口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吊销</w:t>
            </w:r>
          </w:p>
        </w:tc>
        <w:tc>
          <w:tcPr>
            <w:tcW w:w="796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确认无旧凭据调用后吊销旧 Secret；删除本地临时文件和一次性分享，保留非明文证据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4F7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记录</w:t>
            </w:r>
          </w:p>
        </w:tc>
        <w:tc>
          <w:tcPr>
            <w:tcW w:w="7960" w:type="dxa"/>
            <w:shd w:val="clear" w:color="auto" w:fill="F4F7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填写轮换记录、验证结果、异常、下次日期、执行/复核/批准；关闭工单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5.2 分项轮换要点</w:t>
      </w:r>
    </w:p>
    <w:tbl>
      <w:tblPr>
        <w:tblW w:w="5000" w:type="pct"/>
        <w:tblBorders>
          <w:top w:val="single" w:color="8AA8A1" w:sz="6"/>
          <w:left w:val="single" w:color="CBD8D5" w:sz="4"/>
          <w:bottom w:val="single" w:color="8AA8A1" w:sz="6"/>
          <w:right w:val="single" w:color="CBD8D5" w:sz="4"/>
          <w:insideH w:val="single" w:color="CBD8D5" w:sz="4"/>
          <w:insideV w:val="single" w:color="CBD8D5" w:sz="4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750"/>
        <w:gridCol w:w="4700"/>
        <w:gridCol w:w="2910"/>
      </w:tblGrid>
      <w:tr>
        <w:trPr>
          <w:cantSplit/>
          <w:tblHeader/>
        </w:trPr>
        <w:tc>
          <w:tcPr>
            <w:tcW w:w="1750" w:type="dxa"/>
            <w:shd w:val="clear" w:color="auto" w:fill="174C43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szCs w:val="16"/>
              </w:rPr>
              <w:t xml:space="preserve">对象</w:t>
            </w:r>
          </w:p>
        </w:tc>
        <w:tc>
          <w:tcPr>
            <w:tcW w:w="4700" w:type="dxa"/>
            <w:shd w:val="clear" w:color="auto" w:fill="174C43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szCs w:val="16"/>
              </w:rPr>
              <w:t xml:space="preserve">顺序与影响</w:t>
            </w:r>
          </w:p>
        </w:tc>
        <w:tc>
          <w:tcPr>
            <w:tcW w:w="2910" w:type="dxa"/>
            <w:shd w:val="clear" w:color="auto" w:fill="174C43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szCs w:val="16"/>
              </w:rPr>
              <w:t xml:space="preserve">验证/回滚</w:t>
            </w:r>
          </w:p>
        </w:tc>
      </w:tr>
      <w:tr>
        <w:trPr>
          <w:cantSplit/>
        </w:trPr>
        <w:tc>
          <w:tcPr>
            <w:tcW w:w="175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Cloudflare API Token</w:t>
            </w:r>
          </w:p>
        </w:tc>
        <w:tc>
          <w:tcPr>
            <w:tcW w:w="47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按 D1、Stream、Zone/Rulesets、部署拆分最小权限；创建新 Token → 更新各消费者 → 吊销旧 Token</w:t>
            </w:r>
          </w:p>
        </w:tc>
        <w:tc>
          <w:tcPr>
            <w:tcW w:w="291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Token verify、D1/Stream/Zone 针对性检查；失败时在旧 Token 未吊销前回退</w:t>
            </w:r>
          </w:p>
        </w:tc>
      </w:tr>
      <w:tr>
        <w:trPr>
          <w:cantSplit/>
        </w:trPr>
        <w:tc>
          <w:tcPr>
            <w:tcW w:w="175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媒体共享 Secret</w:t>
            </w:r>
          </w:p>
        </w:tc>
        <w:tc>
          <w:tcPr>
            <w:tcW w:w="47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两端必须一致。当前实现未声明双 Secret 窗口：先计划维护窗，协调更新 media Worker 的 MEDIA_WORKER_SECRET 与 Nuxt 的 CLOUDFLARE_MEDIA_WORKER_SECRET</w:t>
            </w:r>
          </w:p>
        </w:tc>
        <w:tc>
          <w:tcPr>
            <w:tcW w:w="291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运行媒体连接检查、分片上传、协调与播放；失败则同时恢复两端旧值</w:t>
            </w:r>
          </w:p>
        </w:tc>
      </w:tr>
      <w:tr>
        <w:trPr>
          <w:cantSplit/>
        </w:trPr>
        <w:tc>
          <w:tcPr>
            <w:tcW w:w="175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媒体签名 Secret</w:t>
            </w:r>
          </w:p>
        </w:tc>
        <w:tc>
          <w:tcPr>
            <w:tcW w:w="47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更新 CLOUDFLARE_MEDIA_SIGNING_SECRET 并重部署；现有短时授权/设备哈希可能失效</w:t>
            </w:r>
          </w:p>
        </w:tc>
        <w:tc>
          <w:tcPr>
            <w:tcW w:w="291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重新登录/获取 playback grant、播放心跳与安全事件检查；必要时回退后重签</w:t>
            </w:r>
          </w:p>
        </w:tc>
      </w:tr>
      <w:tr>
        <w:trPr>
          <w:cantSplit/>
        </w:trPr>
        <w:tc>
          <w:tcPr>
            <w:tcW w:w="175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Stream Webhook Secret</w:t>
            </w:r>
          </w:p>
        </w:tc>
        <w:tc>
          <w:tcPr>
            <w:tcW w:w="47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在 Cloudflare Stream 重新获取/轮换后立即更新 Nuxt；轮换窗内监控验签失败</w:t>
            </w:r>
          </w:p>
        </w:tc>
        <w:tc>
          <w:tcPr>
            <w:tcW w:w="291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触发测试/真实非破坏性回调，确认 D1 状态更新；失败时按平台能力回退或重新生成</w:t>
            </w:r>
          </w:p>
        </w:tc>
      </w:tr>
      <w:tr>
        <w:trPr>
          <w:cantSplit/>
        </w:trPr>
        <w:tc>
          <w:tcPr>
            <w:tcW w:w="175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PayPal Production Secret</w:t>
            </w:r>
          </w:p>
        </w:tc>
        <w:tc>
          <w:tcPr>
            <w:tcW w:w="47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在 PayPal Developer Dashboard 生成/轮换；只更新服务端 PAYPAL_PRODUCTION_SECRET，不放入 NUXT_PUBLIC_*</w:t>
            </w:r>
          </w:p>
        </w:tc>
        <w:tc>
          <w:tcPr>
            <w:tcW w:w="291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Live OAuth、npm run check:production、低风险交易验证；保留可回退窗口取决于 PayPal 能力</w:t>
            </w:r>
          </w:p>
        </w:tc>
      </w:tr>
      <w:tr>
        <w:trPr>
          <w:cantSplit/>
        </w:trPr>
        <w:tc>
          <w:tcPr>
            <w:tcW w:w="175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会话 Secret</w:t>
            </w:r>
          </w:p>
        </w:tc>
        <w:tc>
          <w:tcPr>
            <w:tcW w:w="47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ADMIN_SESSION_SECRET 或 USER_SESSION_SECRET 更新后重部署，预期强制相关用户重新登录</w:t>
            </w:r>
          </w:p>
        </w:tc>
        <w:tc>
          <w:tcPr>
            <w:tcW w:w="291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管理员/H5 登录、Cookie、鉴权和播放；异常时回退并再次注销可疑会话</w:t>
            </w:r>
          </w:p>
        </w:tc>
      </w:tr>
      <w:tr>
        <w:trPr>
          <w:cantSplit/>
        </w:trPr>
        <w:tc>
          <w:tcPr>
            <w:tcW w:w="175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ADMIN_CREDENTIAL_SECRET</w:t>
            </w:r>
          </w:p>
        </w:tc>
        <w:tc>
          <w:tcPr>
            <w:tcW w:w="47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会影响管理员密码 verifier 解密。先建立 break-glass 管理员和重置计划，再轮换并重置所有管理员凭据</w:t>
            </w:r>
          </w:p>
        </w:tc>
        <w:tc>
          <w:tcPr>
            <w:tcW w:w="291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所有角色重新登录与权限验证；不得只改环境变量后结束</w:t>
            </w:r>
          </w:p>
        </w:tc>
      </w:tr>
      <w:tr>
        <w:trPr>
          <w:cantSplit/>
        </w:trPr>
        <w:tc>
          <w:tcPr>
            <w:tcW w:w="175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超级管理员密码</w:t>
            </w:r>
          </w:p>
        </w:tc>
        <w:tc>
          <w:tcPr>
            <w:tcW w:w="47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通过受审计流程更改 D1 账号密码；不要依赖修改 bootstrap 环境变量更新既有账号</w:t>
            </w:r>
          </w:p>
        </w:tc>
        <w:tc>
          <w:tcPr>
            <w:tcW w:w="291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新密码登录、旧密码失败、会话撤销、审计记录存在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5.3 紧急轮换</w:t>
      </w:r>
    </w:p>
    <w:tbl>
      <w:tblPr>
        <w:tblW w:w="5000" w:type="pct"/>
        <w:tblBorders>
          <w:top w:val="single" w:color="2E7D6E" w:sz="6"/>
          <w:left w:val="single" w:color="2E7D6E" w:sz="14"/>
          <w:bottom w:val="single" w:color="2E7D6E" w:sz="6"/>
          <w:right w:val="nil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9360"/>
      </w:tblGrid>
      <w:tr>
        <w:trPr>
          <w:cantSplit/>
        </w:trPr>
        <w:tc>
          <w:tcPr>
            <w:shd w:val="clear" w:color="auto" w:fill="FDECEC"/>
          </w:tcPr>
          <w:p>
            <w:pPr>
              <w:spacing w:after="0" w:line="260" w:lineRule="auto"/>
            </w:pPr>
            <w:r>
              <w:rPr>
                <w:rFonts w:ascii="Noto Sans CJK SC" w:hAnsi="Noto Sans CJK SC" w:eastAsia="Noto Sans CJK SC" w:cs="Noto Sans CJK SC"/>
                <w:b/>
                <w:color w:val="174C43"/>
                <w:sz w:val="21"/>
                <w:szCs w:val="21"/>
              </w:rPr>
              <w:t xml:space="preserve">疑似泄露  </w:t>
            </w:r>
            <w:r>
              <w:rPr>
                <w:rFonts w:ascii="Noto Sans CJK SC" w:hAnsi="Noto Sans CJK SC" w:eastAsia="Noto Sans CJK SC" w:cs="Noto Sans CJK SC"/>
                <w:color w:val="263238"/>
                <w:sz w:val="20"/>
                <w:szCs w:val="20"/>
              </w:rPr>
              <w:t xml:space="preserve">无需等待确认泄露或到达周期。先吊销可造成继续访问的 Token/会话，暂停受影响支付或媒体写入，保存审计证据，再按依赖顺序替换。任何贴入 Git、CI 日志、聊天或工单正文的 Secret 都按已泄露处理。</w:t>
            </w:r>
          </w:p>
        </w:tc>
      </w:tr>
    </w:tbl>
    <w:p>
      <w:pPr>
        <w:spacing w:after="80"/>
      </w:pPr>
    </w:p>
    <w:p>
      <w:pPr>
        <w:pStyle w:val="Bullet"/>
      </w:pPr>
      <w:r>
        <w:t xml:space="preserve">• P0/P1 事件由事件指挥决定止损范围；安全负责人负责取证，系统负责人负责替换和验证，复核人监督吊销。</w:t>
      </w:r>
    </w:p>
    <w:p>
      <w:pPr>
        <w:pStyle w:val="Bullet"/>
      </w:pPr>
      <w:r>
        <w:t xml:space="preserve">• 轮换共享 Secret 时同步所有消费者；轮换签名密钥时预期会话/授权失效；轮换支付 Secret 时禁止把浏览器 Client ID 当成 Secret 一起隐藏或更换。</w:t>
      </w:r>
    </w:p>
    <w:p>
      <w:pPr>
        <w:pStyle w:val="Bullet"/>
      </w:pPr>
      <w:r>
        <w:t xml:space="preserve">• 事件结束后搜索 Git 全历史、制品、CI、日志、截图和消息；清除载体不替代供应商侧吊销。</w:t>
      </w:r>
    </w:p>
    <w:p>
      <w:pPr>
        <w:pStyle w:val="Heading1"/>
      </w:pPr>
      <w:r>
        <w:t xml:space="preserve">6. 轮换记录</w:t>
      </w:r>
    </w:p>
    <w:p>
      <w:pPr>
        <w:pStyle w:val="Normal"/>
      </w:pPr>
      <w:r>
        <w:t xml:space="preserve">每次轮换追加一行。凭据标识只能填写供应商 ID、Vault 条目版本或不可逆短指纹，不得填写值的任何可识别片段。</w:t>
      </w:r>
    </w:p>
    <w:tbl>
      <w:tblPr>
        <w:tblW w:w="5000" w:type="pct"/>
        <w:tblBorders>
          <w:top w:val="single" w:color="8AA8A1" w:sz="6"/>
          <w:left w:val="single" w:color="CBD8D5" w:sz="4"/>
          <w:bottom w:val="single" w:color="8AA8A1" w:sz="6"/>
          <w:right w:val="single" w:color="CBD8D5" w:sz="4"/>
          <w:insideH w:val="single" w:color="CBD8D5" w:sz="4"/>
          <w:insideV w:val="single" w:color="CBD8D5" w:sz="4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994"/>
        <w:gridCol w:w="1310"/>
        <w:gridCol w:w="949"/>
        <w:gridCol w:w="994"/>
        <w:gridCol w:w="1175"/>
        <w:gridCol w:w="1129"/>
        <w:gridCol w:w="949"/>
        <w:gridCol w:w="994"/>
        <w:gridCol w:w="866"/>
      </w:tblGrid>
      <w:tr>
        <w:trPr>
          <w:cantSplit/>
          <w:tblHeader/>
        </w:trPr>
        <w:tc>
          <w:tcPr>
            <w:tcW w:w="994" w:type="dxa"/>
            <w:shd w:val="clear" w:color="auto" w:fill="174C43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szCs w:val="16"/>
              </w:rPr>
              <w:t xml:space="preserve">日期/工单</w:t>
            </w:r>
          </w:p>
        </w:tc>
        <w:tc>
          <w:tcPr>
            <w:tcW w:w="1310" w:type="dxa"/>
            <w:shd w:val="clear" w:color="auto" w:fill="174C43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szCs w:val="16"/>
              </w:rPr>
              <w:t xml:space="preserve">Secret 名称/环境</w:t>
            </w:r>
          </w:p>
        </w:tc>
        <w:tc>
          <w:tcPr>
            <w:tcW w:w="949" w:type="dxa"/>
            <w:shd w:val="clear" w:color="auto" w:fill="174C43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szCs w:val="16"/>
              </w:rPr>
              <w:t xml:space="preserve">原因</w:t>
            </w:r>
          </w:p>
        </w:tc>
        <w:tc>
          <w:tcPr>
            <w:tcW w:w="994" w:type="dxa"/>
            <w:shd w:val="clear" w:color="auto" w:fill="174C43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szCs w:val="16"/>
              </w:rPr>
              <w:t xml:space="preserve">新版本标识</w:t>
            </w:r>
          </w:p>
        </w:tc>
        <w:tc>
          <w:tcPr>
            <w:tcW w:w="1175" w:type="dxa"/>
            <w:shd w:val="clear" w:color="auto" w:fill="174C43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szCs w:val="16"/>
              </w:rPr>
              <w:t xml:space="preserve">影响/维护窗</w:t>
            </w:r>
          </w:p>
        </w:tc>
        <w:tc>
          <w:tcPr>
            <w:tcW w:w="1129" w:type="dxa"/>
            <w:shd w:val="clear" w:color="auto" w:fill="174C43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szCs w:val="16"/>
              </w:rPr>
              <w:t xml:space="preserve">验证结果</w:t>
            </w:r>
          </w:p>
        </w:tc>
        <w:tc>
          <w:tcPr>
            <w:tcW w:w="949" w:type="dxa"/>
            <w:shd w:val="clear" w:color="auto" w:fill="174C43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szCs w:val="16"/>
              </w:rPr>
              <w:t xml:space="preserve">旧值吊销</w:t>
            </w:r>
          </w:p>
        </w:tc>
        <w:tc>
          <w:tcPr>
            <w:tcW w:w="994" w:type="dxa"/>
            <w:shd w:val="clear" w:color="auto" w:fill="174C43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szCs w:val="16"/>
              </w:rPr>
              <w:t xml:space="preserve">执行/复核</w:t>
            </w:r>
          </w:p>
        </w:tc>
        <w:tc>
          <w:tcPr>
            <w:tcW w:w="866" w:type="dxa"/>
            <w:shd w:val="clear" w:color="auto" w:fill="174C43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szCs w:val="16"/>
              </w:rPr>
              <w:t xml:space="preserve">下次日期</w:t>
            </w:r>
          </w:p>
        </w:tc>
      </w:tr>
      <w:tr>
        <w:trPr>
          <w:cantSplit/>
        </w:trPr>
        <w:tc>
          <w:tcPr>
            <w:tcW w:w="994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131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949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例行/泄露/人员变更</w:t>
            </w:r>
          </w:p>
        </w:tc>
        <w:tc>
          <w:tcPr>
            <w:tcW w:w="994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仅 ID/版本</w:t>
            </w:r>
          </w:p>
        </w:tc>
        <w:tc>
          <w:tcPr>
            <w:tcW w:w="1175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1129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949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是/否/不适用</w:t>
            </w:r>
          </w:p>
        </w:tc>
        <w:tc>
          <w:tcPr>
            <w:tcW w:w="994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866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</w:tr>
      <w:tr>
        <w:trPr>
          <w:cantSplit/>
        </w:trPr>
        <w:tc>
          <w:tcPr>
            <w:tcW w:w="994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131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949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994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1175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1129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949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994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866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</w:tr>
      <w:tr>
        <w:trPr>
          <w:cantSplit/>
        </w:trPr>
        <w:tc>
          <w:tcPr>
            <w:tcW w:w="994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131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949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994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1175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1129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949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994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866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</w:tr>
      <w:tr>
        <w:trPr>
          <w:cantSplit/>
        </w:trPr>
        <w:tc>
          <w:tcPr>
            <w:tcW w:w="994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131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949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994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1175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1129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949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994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866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</w:tr>
      <w:tr>
        <w:trPr>
          <w:cantSplit/>
        </w:trPr>
        <w:tc>
          <w:tcPr>
            <w:tcW w:w="994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131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949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994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1175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1129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949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994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866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</w:tr>
      <w:tr>
        <w:trPr>
          <w:cantSplit/>
        </w:trPr>
        <w:tc>
          <w:tcPr>
            <w:tcW w:w="994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131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949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994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1175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1129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949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994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866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7. 定期复核清单</w:t>
      </w:r>
    </w:p>
    <w:p>
      <w:pPr>
        <w:pStyle w:val="Checklist"/>
      </w:pPr>
      <w:r>
        <w:t xml:space="preserve">□ 每月检查即将到期、长期未使用、权限过宽和未知负责人 Secret；检查部署环境是否出现新增未登记变量。</w:t>
      </w:r>
    </w:p>
    <w:p>
      <w:pPr>
        <w:pStyle w:val="Checklist"/>
      </w:pPr>
      <w:r>
        <w:t xml:space="preserve">□ 每季度复核 Cloudflare/PayPal/Vault/IdP 管理员、服务 Token、MFA 和 break-glass 使用记录；移除不再需要的访问。</w:t>
      </w:r>
    </w:p>
    <w:p>
      <w:pPr>
        <w:pStyle w:val="Checklist"/>
      </w:pPr>
      <w:r>
        <w:t xml:space="preserve">□ 每次发布确认 Secret 未进入 NUXT_PUBLIC_*、前端 bundle、日志、错误响应、截图和 Git；抽查 API 响应不返回支付凭据或原始对象路径。</w:t>
      </w:r>
    </w:p>
    <w:p>
      <w:pPr>
        <w:pStyle w:val="Checklist"/>
      </w:pPr>
      <w:r>
        <w:t xml:space="preserve">□ 每次人员离岗、供应商通知、设备丢失、代码仓库暴露或异常登录后立即执行受影响范围轮换。</w:t>
      </w:r>
    </w:p>
    <w:p>
      <w:pPr>
        <w:pStyle w:val="Checklist"/>
      </w:pPr>
      <w:r>
        <w:t xml:space="preserve">□ 每半年演练一次媒体共享 Secret、Cloudflare Token 和会话密钥轮换；ADMIN_CREDENTIAL_SECRET 演练须在隔离环境完成。</w:t>
      </w:r>
    </w:p>
    <w:p>
      <w:pPr>
        <w:pStyle w:val="Heading1"/>
      </w:pPr>
      <w:r>
        <w:t xml:space="preserve">附录 A：验证命令（不得输出 Secret）</w:t>
      </w:r>
    </w:p>
    <w:p>
      <w:pPr>
        <w:pStyle w:val="Code"/>
        <w:pBdr>
          <w:left w:val="single" w:color="2E7D6E" w:sz="18" w:space="8"/>
        </w:pBdr>
        <w:shd w:val="clear" w:color="auto" w:fill="F3F5F7"/>
      </w:pPr>
      <w:r>
        <w:rPr>
          <w:rFonts w:ascii="Noto Sans CJK SC" w:hAnsi="Noto Sans CJK SC" w:eastAsia="Noto Sans CJK SC" w:cs="Noto Sans CJK SC"/>
          <w:color w:val="263238"/>
          <w:sz w:val="18"/>
          <w:szCs w:val="18"/>
        </w:rPr>
        <w:t xml:space="preserve">npm run check:cloudflare
npm run check:domains
npm run check:production
npm run check:media-worker
npm run test:media-worker
npm run test:payments
npm run test:playback-security</w:t>
      </w:r>
    </w:p>
    <w:tbl>
      <w:tblPr>
        <w:tblW w:w="5000" w:type="pct"/>
        <w:tblBorders>
          <w:top w:val="single" w:color="2E7D6E" w:sz="6"/>
          <w:left w:val="single" w:color="2E7D6E" w:sz="14"/>
          <w:bottom w:val="single" w:color="2E7D6E" w:sz="6"/>
          <w:right w:val="nil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9360"/>
      </w:tblGrid>
      <w:tr>
        <w:trPr>
          <w:cantSplit/>
        </w:trPr>
        <w:tc>
          <w:tcPr>
            <w:shd w:val="clear" w:color="auto" w:fill="FFF4CE"/>
          </w:tcPr>
          <w:p>
            <w:pPr>
              <w:spacing w:after="0" w:line="260" w:lineRule="auto"/>
            </w:pPr>
            <w:r>
              <w:rPr>
                <w:rFonts w:ascii="Noto Sans CJK SC" w:hAnsi="Noto Sans CJK SC" w:eastAsia="Noto Sans CJK SC" w:cs="Noto Sans CJK SC"/>
                <w:b/>
                <w:color w:val="174C43"/>
                <w:sz w:val="21"/>
                <w:szCs w:val="21"/>
              </w:rPr>
              <w:t xml:space="preserve">操作提示  </w:t>
            </w:r>
            <w:r>
              <w:rPr>
                <w:rFonts w:ascii="Noto Sans CJK SC" w:hAnsi="Noto Sans CJK SC" w:eastAsia="Noto Sans CJK SC" w:cs="Noto Sans CJK SC"/>
                <w:color w:val="263238"/>
                <w:sz w:val="20"/>
                <w:szCs w:val="20"/>
              </w:rPr>
              <w:t xml:space="preserve">check:production 可以从 PRODUCTION_ENV_FILE 读取本地运维文件。该文件必须被 Git 忽略、权限受限并在使用后按组织策略处理；不要在共享终端、录屏或 CI 明文日志中运行会暴露环境的命令。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附录 B：维护记录</w:t>
      </w:r>
    </w:p>
    <w:tbl>
      <w:tblPr>
        <w:tblW w:w="5000" w:type="pct"/>
        <w:tblBorders>
          <w:top w:val="single" w:color="8AA8A1" w:sz="6"/>
          <w:left w:val="single" w:color="CBD8D5" w:sz="4"/>
          <w:bottom w:val="single" w:color="8AA8A1" w:sz="6"/>
          <w:right w:val="single" w:color="CBD8D5" w:sz="4"/>
          <w:insideH w:val="single" w:color="CBD8D5" w:sz="4"/>
          <w:insideV w:val="single" w:color="CBD8D5" w:sz="4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000"/>
        <w:gridCol w:w="1500"/>
        <w:gridCol w:w="4200"/>
        <w:gridCol w:w="1350"/>
        <w:gridCol w:w="1310"/>
      </w:tblGrid>
      <w:tr>
        <w:trPr>
          <w:cantSplit/>
          <w:tblHeader/>
        </w:trPr>
        <w:tc>
          <w:tcPr>
            <w:tcW w:w="1000" w:type="dxa"/>
            <w:shd w:val="clear" w:color="auto" w:fill="174C43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szCs w:val="18"/>
              </w:rPr>
              <w:t xml:space="preserve">版本</w:t>
            </w:r>
          </w:p>
        </w:tc>
        <w:tc>
          <w:tcPr>
            <w:tcW w:w="1500" w:type="dxa"/>
            <w:shd w:val="clear" w:color="auto" w:fill="174C43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szCs w:val="18"/>
              </w:rPr>
              <w:t xml:space="preserve">日期</w:t>
            </w:r>
          </w:p>
        </w:tc>
        <w:tc>
          <w:tcPr>
            <w:tcW w:w="4200" w:type="dxa"/>
            <w:shd w:val="clear" w:color="auto" w:fill="174C43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szCs w:val="18"/>
              </w:rPr>
              <w:t xml:space="preserve">变更摘要</w:t>
            </w:r>
          </w:p>
        </w:tc>
        <w:tc>
          <w:tcPr>
            <w:tcW w:w="1350" w:type="dxa"/>
            <w:shd w:val="clear" w:color="auto" w:fill="174C43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szCs w:val="18"/>
              </w:rPr>
              <w:t xml:space="preserve">编制</w:t>
            </w:r>
          </w:p>
        </w:tc>
        <w:tc>
          <w:tcPr>
            <w:tcW w:w="1310" w:type="dxa"/>
            <w:shd w:val="clear" w:color="auto" w:fill="174C43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szCs w:val="18"/>
              </w:rPr>
              <w:t xml:space="preserve">复核/批准</w:t>
            </w:r>
          </w:p>
        </w:tc>
      </w:tr>
      <w:tr>
        <w:trPr>
          <w:cantSplit/>
        </w:trPr>
        <w:tc>
          <w:tcPr>
            <w:tcW w:w="100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V1.0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2026-09-10</w:t>
            </w:r>
          </w:p>
        </w:tc>
        <w:tc>
          <w:tcPr>
            <w:tcW w:w="420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首次生成：资产清单、交接验收、轮换流程与记录表</w:t>
            </w:r>
          </w:p>
        </w:tc>
        <w:tc>
          <w:tcPr>
            <w:tcW w:w="135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ReelNova 项目组</w:t>
            </w:r>
          </w:p>
        </w:tc>
        <w:tc>
          <w:tcPr>
            <w:tcW w:w="131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待填写</w:t>
            </w:r>
          </w:p>
        </w:tc>
      </w:tr>
    </w:tbl>
    <w:p>
      <w:pPr>
        <w:spacing w:after="100"/>
      </w:pPr>
    </w:p>
    <w:sectPr>
      <w:headerReference xmlns:r="http://schemas.openxmlformats.org/officeDocument/2006/relationships" w:type="default" r:id="Rfb8f154023d14d50"/>
      <w:footerReference xmlns:r="http://schemas.openxmlformats.org/officeDocument/2006/relationships" w:type="default" r:id="Rc97ec32c91e6499f"/>
      <w:pgSz w:w="11906" w:h="16838"/>
      <w:pgMar w:top="1134" w:right="1276" w:bottom="1134" w:left="1276" w:header="567" w:footer="567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Noto Sans CJK SC" w:hAnsi="Noto Sans CJK SC" w:eastAsia="Noto Sans CJK SC" w:cs="Noto Sans CJK SC"/>
        <w:color w:val="6D7E7A"/>
        <w:sz w:val="17"/>
        <w:szCs w:val="17"/>
      </w:rPr>
      <w:t xml:space="preserve">内部使用  |  </w:t>
    </w:r>
    <w:fldSimple w:instr=" PAGE ">
      <w:r>
        <w:rPr>
          <w:sz w:val="17"/>
        </w:rPr>
        <w:t>1</w:t>
      </w:r>
    </w:fldSimple>
    <w:r>
      <w:rPr>
        <w:rFonts w:ascii="Noto Sans CJK SC" w:hAnsi="Noto Sans CJK SC" w:eastAsia="Noto Sans CJK SC" w:cs="Noto Sans CJK SC"/>
        <w:color w:val="6D7E7A"/>
        <w:sz w:val="17"/>
        <w:szCs w:val="17"/>
      </w:rPr>
      <w:t xml:space="preserve"> / </w:t>
    </w:r>
    <w:fldSimple w:instr=" NUMPAGES ">
      <w:r>
        <w:rPr>
          <w:sz w:val="17"/>
        </w:rPr>
        <w:t>1</w:t>
      </w:r>
    </w:fldSimple>
  </w:p>
</w:ftr>
</file>

<file path=word/header1.xml><?xml version="1.0" encoding="utf-8"?>
<w:hdr xmlns:w="http://schemas.openxmlformats.org/wordprocessingml/2006/main">
  <w:p>
    <w:pPr>
      <w:pBdr>
        <w:bottom w:val="single" w:color="B7CBC6" w:sz="6" w:space="6"/>
      </w:pBdr>
      <w:jc w:val="right"/>
    </w:pPr>
    <w:r>
      <w:rPr>
        <w:rFonts w:ascii="Noto Sans CJK SC" w:hAnsi="Noto Sans CJK SC" w:eastAsia="Noto Sans CJK SC" w:cs="Noto Sans CJK SC"/>
        <w:color w:val="55706A"/>
        <w:sz w:val="17"/>
        <w:szCs w:val="17"/>
      </w:rPr>
      <w:t xml:space="preserve">ReelNova  |  生产 Secret 交接与轮换</w:t>
    </w:r>
  </w:p>
</w:hdr>
</file>

<file path=word/settings.xml><?xml version="1.0" encoding="utf-8"?>
<w:settings xmlns:w="http://schemas.openxmlformats.org/wordprocessingml/2006/main"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Noto Sans CJK SC" w:hAnsi="Noto Sans CJK SC" w:eastAsia="Noto Sans CJK SC" w:cs="Noto Sans CJK SC"/>
        <w:color w:val="263238"/>
        <w:sz w:val="21"/>
        <w:szCs w:val="21"/>
        <w:lang w:val="en-US" w:eastAsia="zh-CN"/>
      </w:rPr>
    </w:rPrDefault>
    <w:pPrDefault>
      <w:pPr>
        <w:spacing w:after="120" w:line="276" w:lineRule="auto"/>
      </w:pPr>
    </w:pPrDefault>
  </w:docDefaults>
  <w:style w:type="paragraph" w:styleId="Normal" w:default="true">
    <w:name w:val="正文"/>
    <w:next w:val="Normal"/>
    <w:uiPriority w:val="0"/>
    <w:qFormat/>
    <w:pPr>
      <w:widowControl/>
      <w:spacing w:after="120" w:line="276" w:lineRule="auto"/>
      <w:jc w:val="left"/>
    </w:pPr>
    <w:rPr>
      <w:rFonts w:ascii="Noto Sans CJK SC" w:hAnsi="Noto Sans CJK SC" w:eastAsia="Noto Sans CJK SC" w:cs="Noto Sans CJK SC"/>
      <w:color w:val="263238"/>
      <w:sz w:val="21"/>
      <w:szCs w:val="21"/>
    </w:rPr>
  </w:style>
  <w:style w:type="paragraph" w:styleId="Heading1" w:default="false">
    <w:name w:val="标题 1"/>
    <w:basedOn w:val="Normal"/>
    <w:next w:val="Normal"/>
    <w:uiPriority w:val="10"/>
    <w:qFormat/>
    <w:pPr>
      <w:keepNext/>
      <w:keepLines/>
      <w:pageBreakBefore/>
      <w:spacing w:before="420" w:after="120"/>
      <w:outlineLvl w:val="0"/>
    </w:pPr>
    <w:rPr>
      <w:rFonts w:ascii="Noto Sans CJK SC" w:hAnsi="Noto Sans CJK SC" w:eastAsia="Noto Sans CJK SC" w:cs="Noto Sans CJK SC"/>
      <w:b/>
      <w:color w:val="174C43"/>
      <w:sz w:val="34"/>
      <w:szCs w:val="34"/>
    </w:rPr>
  </w:style>
  <w:style w:type="paragraph" w:styleId="Heading2" w:default="false">
    <w:name w:val="标题 2"/>
    <w:basedOn w:val="Normal"/>
    <w:next w:val="Normal"/>
    <w:uiPriority w:val="10"/>
    <w:qFormat/>
    <w:pPr>
      <w:keepNext/>
      <w:keepLines/>
      <w:spacing w:before="300" w:after="100"/>
      <w:outlineLvl w:val="1"/>
    </w:pPr>
    <w:rPr>
      <w:rFonts w:ascii="Noto Sans CJK SC" w:hAnsi="Noto Sans CJK SC" w:eastAsia="Noto Sans CJK SC" w:cs="Noto Sans CJK SC"/>
      <w:b/>
      <w:color w:val="1F5F55"/>
      <w:sz w:val="28"/>
      <w:szCs w:val="28"/>
    </w:rPr>
  </w:style>
  <w:style w:type="paragraph" w:styleId="Heading3" w:default="false">
    <w:name w:val="标题 3"/>
    <w:basedOn w:val="Normal"/>
    <w:next w:val="Normal"/>
    <w:uiPriority w:val="10"/>
    <w:qFormat/>
    <w:pPr>
      <w:keepNext/>
      <w:keepLines/>
      <w:spacing w:before="220" w:after="80"/>
      <w:outlineLvl w:val="2"/>
    </w:pPr>
    <w:rPr>
      <w:rFonts w:ascii="Noto Sans CJK SC" w:hAnsi="Noto Sans CJK SC" w:eastAsia="Noto Sans CJK SC" w:cs="Noto Sans CJK SC"/>
      <w:b/>
      <w:color w:val="2E7D6E"/>
      <w:sz w:val="23"/>
      <w:szCs w:val="23"/>
    </w:rPr>
  </w:style>
  <w:style w:type="paragraph" w:styleId="Title" w:default="false">
    <w:name w:val="封面标题"/>
    <w:basedOn w:val="Normal"/>
    <w:next w:val="Normal"/>
    <w:uiPriority w:val="10"/>
    <w:qFormat/>
    <w:pPr>
      <w:spacing w:after="180"/>
      <w:jc w:val="center"/>
    </w:pPr>
    <w:rPr>
      <w:rFonts w:ascii="Noto Sans CJK SC" w:hAnsi="Noto Sans CJK SC" w:eastAsia="Noto Sans CJK SC" w:cs="Noto Sans CJK SC"/>
      <w:b/>
      <w:color w:val="173F38"/>
      <w:sz w:val="48"/>
      <w:szCs w:val="48"/>
    </w:rPr>
  </w:style>
  <w:style w:type="paragraph" w:styleId="Brand" w:default="false">
    <w:name w:val="品牌"/>
    <w:basedOn w:val="Normal"/>
    <w:next w:val="Normal"/>
    <w:uiPriority w:val="10"/>
    <w:qFormat/>
    <w:pPr>
      <w:spacing w:after="180"/>
      <w:jc w:val="center"/>
    </w:pPr>
    <w:rPr>
      <w:rFonts w:ascii="Noto Sans CJK SC" w:hAnsi="Noto Sans CJK SC" w:eastAsia="Noto Sans CJK SC" w:cs="Noto Sans CJK SC"/>
      <w:b/>
      <w:color w:val="2E7D6E"/>
      <w:sz w:val="30"/>
      <w:szCs w:val="30"/>
    </w:rPr>
  </w:style>
  <w:style w:type="paragraph" w:styleId="Subtitle" w:default="false">
    <w:name w:val="封面副标题"/>
    <w:basedOn w:val="Normal"/>
    <w:next w:val="Normal"/>
    <w:uiPriority w:val="10"/>
    <w:qFormat/>
    <w:pPr>
      <w:spacing w:after="100"/>
      <w:jc w:val="center"/>
    </w:pPr>
    <w:rPr>
      <w:rFonts w:ascii="Noto Sans CJK SC" w:hAnsi="Noto Sans CJK SC" w:eastAsia="Noto Sans CJK SC" w:cs="Noto Sans CJK SC"/>
      <w:color w:val="49615C"/>
      <w:sz w:val="26"/>
      <w:szCs w:val="26"/>
    </w:rPr>
  </w:style>
  <w:style w:type="paragraph" w:styleId="CoverMeta" w:default="false">
    <w:name w:val="封面信息"/>
    <w:basedOn w:val="Normal"/>
    <w:next w:val="Normal"/>
    <w:uiPriority w:val="10"/>
    <w:qFormat/>
    <w:pPr>
      <w:spacing w:after="80"/>
      <w:jc w:val="center"/>
    </w:pPr>
    <w:rPr>
      <w:rFonts w:ascii="Noto Sans CJK SC" w:hAnsi="Noto Sans CJK SC" w:eastAsia="Noto Sans CJK SC" w:cs="Noto Sans CJK SC"/>
      <w:color w:val="556B66"/>
      <w:sz w:val="21"/>
      <w:szCs w:val="21"/>
    </w:rPr>
  </w:style>
  <w:style w:type="paragraph" w:styleId="Classification" w:default="false">
    <w:name w:val="密级"/>
    <w:basedOn w:val="Normal"/>
    <w:next w:val="Normal"/>
    <w:uiPriority w:val="10"/>
    <w:qFormat/>
    <w:pPr>
      <w:spacing w:before="500"/>
      <w:jc w:val="center"/>
    </w:pPr>
    <w:rPr>
      <w:rFonts w:ascii="Noto Sans CJK SC" w:hAnsi="Noto Sans CJK SC" w:eastAsia="Noto Sans CJK SC" w:cs="Noto Sans CJK SC"/>
      <w:b/>
      <w:color w:val="9B2C2C"/>
      <w:sz w:val="22"/>
      <w:szCs w:val="22"/>
    </w:rPr>
  </w:style>
  <w:style w:type="paragraph" w:styleId="Bullet" w:default="false">
    <w:name w:val="项目符号"/>
    <w:basedOn w:val="Normal"/>
    <w:next w:val="Normal"/>
    <w:uiPriority w:val="10"/>
    <w:qFormat/>
    <w:pPr>
      <w:spacing w:after="60" w:line="260" w:lineRule="auto"/>
      <w:ind w:left="420" w:hanging="220"/>
    </w:pPr>
    <w:rPr>
      <w:rFonts w:ascii="Noto Sans CJK SC" w:hAnsi="Noto Sans CJK SC" w:eastAsia="Noto Sans CJK SC" w:cs="Noto Sans CJK SC"/>
      <w:color w:val="263238"/>
      <w:sz w:val="20"/>
      <w:szCs w:val="20"/>
    </w:rPr>
  </w:style>
  <w:style w:type="paragraph" w:styleId="Checklist" w:default="false">
    <w:name w:val="检查清单"/>
    <w:basedOn w:val="Normal"/>
    <w:next w:val="Normal"/>
    <w:uiPriority w:val="10"/>
    <w:qFormat/>
    <w:pPr>
      <w:spacing w:after="70" w:line="260" w:lineRule="auto"/>
      <w:ind w:left="260" w:hanging="220"/>
    </w:pPr>
    <w:rPr>
      <w:rFonts w:ascii="Noto Sans CJK SC" w:hAnsi="Noto Sans CJK SC" w:eastAsia="Noto Sans CJK SC" w:cs="Noto Sans CJK SC"/>
      <w:color w:val="263238"/>
      <w:sz w:val="20"/>
      <w:szCs w:val="20"/>
    </w:rPr>
  </w:style>
  <w:style w:type="paragraph" w:styleId="Code" w:default="false">
    <w:name w:val="命令"/>
    <w:basedOn w:val="Normal"/>
    <w:next w:val="Normal"/>
    <w:uiPriority w:val="10"/>
    <w:qFormat/>
    <w:pPr>
      <w:spacing w:before="60" w:after="80" w:line="240" w:lineRule="auto"/>
      <w:ind w:left="240" w:right="120"/>
    </w:pPr>
    <w:rPr>
      <w:rFonts w:ascii="Noto Sans CJK SC" w:hAnsi="Noto Sans CJK SC" w:eastAsia="Noto Sans CJK SC" w:cs="Noto Sans CJK SC"/>
      <w:color w:val="263238"/>
      <w:sz w:val="18"/>
      <w:szCs w:val="18"/>
    </w:rPr>
  </w:style>
  <w:style w:type="paragraph" w:styleId="TocHeading" w:default="false">
    <w:name w:val="目录标题"/>
    <w:basedOn w:val="Normal"/>
    <w:next w:val="Normal"/>
    <w:uiPriority w:val="10"/>
    <w:qFormat/>
    <w:pPr>
      <w:spacing w:after="300"/>
      <w:jc w:val="center"/>
      <w:outlineLvl w:val="0"/>
    </w:pPr>
    <w:rPr>
      <w:rFonts w:ascii="Noto Sans CJK SC" w:hAnsi="Noto Sans CJK SC" w:eastAsia="Noto Sans CJK SC" w:cs="Noto Sans CJK SC"/>
      <w:b/>
      <w:color w:val="174C43"/>
      <w:sz w:val="34"/>
      <w:szCs w:val="3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e061bf5598440c8" /><Relationship Type="http://schemas.openxmlformats.org/officeDocument/2006/relationships/settings" Target="/word/settings.xml" Id="R8e726d4629b14f4d" /><Relationship Type="http://schemas.openxmlformats.org/officeDocument/2006/relationships/header" Target="/word/header1.xml" Id="Rfb8f154023d14d50" /><Relationship Type="http://schemas.openxmlformats.org/officeDocument/2006/relationships/footer" Target="/word/footer1.xml" Id="Rc97ec32c91e6499f" /></Relationships>
</file>