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865"/>
          <w:sz w:val="44"/>
        </w:rPr>
        <w:t>Informe de resultados — Piloto PF-3311</w:t>
      </w:r>
    </w:p>
    <w:p>
      <w:pPr>
        <w:jc w:val="center"/>
      </w:pPr>
      <w:r>
        <w:rPr>
          <w:color w:val="212529"/>
          <w:sz w:val="28"/>
        </w:rPr>
        <w:t>Resultados del experimento within-subjects (A / B / C)</w:t>
      </w:r>
    </w:p>
    <w:p>
      <w:pPr>
        <w:jc w:val="center"/>
      </w:pPr>
      <w:r>
        <w:rPr>
          <w:color w:val="5A6268"/>
          <w:sz w:val="22"/>
        </w:rPr>
        <w:t>PF-3311 — Agentes Virtuales Inteligentes</w:t>
      </w:r>
    </w:p>
    <w:p>
      <w:pPr>
        <w:jc w:val="center"/>
      </w:pPr>
      <w:r>
        <w:rPr>
          <w:color w:val="5A6268"/>
          <w:sz w:val="22"/>
        </w:rPr>
        <w:t>Ney Fred Jiménez (B03230)</w:t>
      </w:r>
    </w:p>
    <w:p>
      <w:pPr>
        <w:jc w:val="center"/>
      </w:pPr>
      <w:r>
        <w:rPr>
          <w:color w:val="5A6268"/>
          <w:sz w:val="22"/>
        </w:rPr>
        <w:t>Generado: 17/06/2026</w:t>
      </w:r>
    </w:p>
    <w:p>
      <w:r>
        <w:br w:type="page"/>
      </w:r>
    </w:p>
    <w:p>
      <w:pPr>
        <w:pStyle w:val="Heading1"/>
      </w:pPr>
      <w:r>
        <w:t>Índice</w:t>
      </w:r>
    </w:p>
    <w:p>
      <w:r>
        <w:rPr>
          <w:b w:val="0"/>
          <w:i w:val="0"/>
          <w:sz w:val="22"/>
        </w:rPr>
        <w:t>1. Resumen y guía de términos</w:t>
      </w:r>
    </w:p>
    <w:p>
      <w:r>
        <w:rPr>
          <w:b w:val="0"/>
          <w:i w:val="0"/>
          <w:sz w:val="22"/>
        </w:rPr>
        <w:t>2. Muestra y procedimiento de datos</w:t>
      </w:r>
    </w:p>
    <w:p>
      <w:r>
        <w:rPr>
          <w:b w:val="0"/>
          <w:i w:val="0"/>
          <w:sz w:val="22"/>
        </w:rPr>
        <w:t>3. RQ1 — Precisión</w:t>
      </w:r>
    </w:p>
    <w:p>
      <w:r>
        <w:rPr>
          <w:b w:val="0"/>
          <w:i w:val="0"/>
          <w:sz w:val="22"/>
        </w:rPr>
        <w:t>4. RQ2 — Confianza y cuestionarios</w:t>
      </w:r>
    </w:p>
    <w:p>
      <w:r>
        <w:rPr>
          <w:b w:val="0"/>
          <w:i w:val="0"/>
          <w:sz w:val="22"/>
        </w:rPr>
        <w:t>5. RQ3 — Calibración</w:t>
      </w:r>
    </w:p>
    <w:p>
      <w:r>
        <w:rPr>
          <w:b w:val="0"/>
          <w:i w:val="0"/>
          <w:sz w:val="22"/>
        </w:rPr>
        <w:t>6. Agente (B vs C)</w:t>
      </w:r>
    </w:p>
    <w:p>
      <w:r>
        <w:rPr>
          <w:b w:val="0"/>
          <w:i w:val="0"/>
          <w:sz w:val="22"/>
        </w:rPr>
        <w:t>7. Viabilidad técnica</w:t>
      </w:r>
    </w:p>
    <w:p>
      <w:r>
        <w:rPr>
          <w:b w:val="0"/>
          <w:i w:val="0"/>
          <w:sz w:val="22"/>
        </w:rPr>
        <w:t>8. Discusión y conclusiones</w:t>
      </w:r>
    </w:p>
    <w:p>
      <w:r>
        <w:rPr>
          <w:b w:val="0"/>
          <w:i w:val="0"/>
          <w:sz w:val="22"/>
        </w:rPr>
        <w:t>Anexo — Inferencia estadística</w:t>
      </w:r>
    </w:p>
    <w:p>
      <w:r>
        <w:br w:type="page"/>
      </w:r>
    </w:p>
    <w:p>
      <w:pPr>
        <w:pStyle w:val="Heading1"/>
      </w:pPr>
      <w:r>
        <w:t>1. Resumen</w:t>
      </w:r>
    </w:p>
    <w:p>
      <w:r>
        <w:rPr>
          <w:b w:val="0"/>
          <w:i w:val="0"/>
          <w:sz w:val="22"/>
        </w:rPr>
        <w:t>Este informe presenta los resultados del piloto within-subjects (condiciones A, B y C) del prototipo PF-3311. Cada participante pasó por los tres escenarios: sin agente (A), chat de texto (B) y avatar con voz (C).</w:t>
      </w:r>
    </w:p>
    <w:p>
      <w:r>
        <w:rPr>
          <w:b w:val="0"/>
          <w:i w:val="0"/>
          <w:sz w:val="22"/>
        </w:rPr>
        <w:t>Se reportan precisión (% de aciertos), confianza subjetiva (1–7), calibración (ajuste entre confianza y aciertos), cuestionarios post-bloque (RAW-TLX y meCUE) y métricas del agente conversacional.</w:t>
      </w:r>
    </w:p>
    <w:p>
      <w:r>
        <w:rPr>
          <w:b w:val="0"/>
          <w:i w:val="0"/>
          <w:sz w:val="22"/>
        </w:rPr>
        <w:t>Participaron 15 sesiones canónicas; 15 completaron los tres bloques (6+6+6 ítems), equivalente al 100.0 % de la muestra.</w:t>
      </w:r>
    </w:p>
    <w:p>
      <w:r>
        <w:rPr>
          <w:b w:val="0"/>
          <w:i w:val="0"/>
          <w:sz w:val="22"/>
        </w:rPr>
        <w:t>Las secciones siguientes incluyen tablas, figuras y un apartado «Cómo interpretar» en lenguaje sencillo para cada resultado.</w:t>
      </w:r>
    </w:p>
    <w:p>
      <w:pPr>
        <w:pStyle w:val="Heading2"/>
      </w:pPr>
      <w:r>
        <w:t>Guía rápida de términos</w:t>
      </w:r>
    </w:p>
    <w:p>
      <w:r>
        <w:rPr>
          <w:b w:val="0"/>
          <w:i w:val="0"/>
          <w:sz w:val="22"/>
        </w:rPr>
        <w:t>A / B / C: sin agente · chat de texto · avatar con voz.</w:t>
      </w:r>
    </w:p>
    <w:p>
      <w:r>
        <w:rPr>
          <w:b w:val="0"/>
          <w:i w:val="0"/>
          <w:sz w:val="22"/>
        </w:rPr>
        <w:t>Precisión: % de respuestas correctas en el bloque (6 preguntas).</w:t>
      </w:r>
    </w:p>
    <w:p>
      <w:r>
        <w:rPr>
          <w:b w:val="0"/>
          <w:i w:val="0"/>
          <w:sz w:val="22"/>
        </w:rPr>
        <w:t>Confianza: qué tan seguro se sintió el participante (1 = nada, 7 = mucho).</w:t>
      </w:r>
    </w:p>
    <w:p>
      <w:r>
        <w:rPr>
          <w:b w:val="0"/>
          <w:i w:val="0"/>
          <w:sz w:val="22"/>
        </w:rPr>
        <w:t>Brecha de calibración: desajuste entre confianza y aciertos; positivo ≈ más confianza que aciertos.</w:t>
      </w:r>
    </w:p>
    <w:p>
      <w:r>
        <w:rPr>
          <w:b w:val="0"/>
          <w:i w:val="0"/>
          <w:sz w:val="22"/>
        </w:rPr>
        <w:t>HelpScore: utilidad pedagógica del chat (evaluación automática).</w:t>
      </w:r>
    </w:p>
    <w:p>
      <w:r>
        <w:rPr>
          <w:b w:val="0"/>
          <w:i w:val="0"/>
          <w:sz w:val="22"/>
        </w:rPr>
        <w:t>RAW-TLX: carga de trabajo percibida tras cada bloque (más alto = más exigente).</w:t>
      </w:r>
    </w:p>
    <w:p>
      <w:r>
        <w:rPr>
          <w:b w:val="0"/>
          <w:i w:val="0"/>
          <w:sz w:val="22"/>
        </w:rPr>
        <w:t>meCUE: experiencia con el agente conversacional (bloques B y C).</w:t>
      </w:r>
    </w:p>
    <w:p>
      <w:pPr>
        <w:pStyle w:val="Heading1"/>
      </w:pPr>
      <w:r>
        <w:t>2. Muestra</w:t>
      </w:r>
    </w:p>
    <w:p>
      <w:r>
        <w:rPr>
          <w:b w:val="0"/>
          <w:i w:val="0"/>
          <w:sz w:val="22"/>
        </w:rPr>
        <w:t>Se identificaron 15 carpetas de sesión bajo CSV data/.</w:t>
      </w:r>
    </w:p>
    <w:p>
      <w:r>
        <w:rPr>
          <w:b w:val="0"/>
          <w:i w:val="0"/>
          <w:sz w:val="22"/>
        </w:rPr>
        <w:t>Para el análisis se utilizó una sesión canónica por participante (n=15).</w:t>
      </w:r>
    </w:p>
    <w:p>
      <w:r>
        <w:rPr>
          <w:b w:val="0"/>
          <w:i w:val="0"/>
          <w:sz w:val="22"/>
        </w:rPr>
        <w:t>Completitud A+B+C: 15/15 participantes (100.0%).</w:t>
      </w:r>
    </w:p>
    <w:p>
      <w:r>
        <w:rPr>
          <w:b w:val="0"/>
          <w:i w:val="0"/>
          <w:sz w:val="22"/>
        </w:rPr>
        <w:t>El cuestionario de perfil (Google Forms, inicio de sesión) aporta contexto demográfico y de experiencia previa para 15 participante(s).</w:t>
      </w:r>
    </w:p>
    <w:p>
      <w:r>
        <w:rPr>
          <w:b w:val="0"/>
          <w:i w:val="0"/>
          <w:sz w:val="22"/>
        </w:rPr>
        <w:t>Rango de edad: 25–34 años (n=4, 27%); 18–24 años (n=3, 20%); 35–44 años (n=3, 20%); 45–54 años (n=2, 13%); 55–64 años (n=2, 13%); 65 años o más (n=1, 7%).</w:t>
      </w:r>
    </w:p>
    <w:p>
      <w:r>
        <w:rPr>
          <w:b w:val="0"/>
          <w:i w:val="0"/>
          <w:sz w:val="22"/>
        </w:rPr>
        <w:t>Nivel educativo: Secundaria completa (n=3, 20%); Técnico / diplomado (n=3, 20%); Universidad completa (grado / licenciatura) (n=3, 20%); Posgrado (maestría / doctorado) (n=2, 13%); Universidad incompleta (n=2, 13%); Otro (n=1, 7%); Primaria completa (n=1, 7%).</w:t>
      </w:r>
    </w:p>
    <w:p>
      <w:r>
        <w:rPr>
          <w:b w:val="0"/>
          <w:i w:val="0"/>
          <w:sz w:val="22"/>
        </w:rPr>
        <w:t>Uso de asistentes digitales: Algunas veces al mes (n=3, 20%); Algunas veces por semana (n=3, 20%); Casi todos los días (n=3, 20%); Nunca o casi nunca (n=3, 20%); Varias veces al día (n=3, 20%).</w:t>
      </w:r>
    </w:p>
    <w:p>
      <w:r>
        <w:rPr>
          <w:b w:val="0"/>
          <w:i w:val="0"/>
          <w:sz w:val="22"/>
        </w:rPr>
        <w:t>Experiencia con avatares/agentes: Algunas veces (n=5, 33%); Una o pocas veces (n=4, 27%); Con frecuencia (n=3, 20%); Nunca (n=3, 20%).</w:t>
      </w:r>
    </w:p>
    <w:p>
      <w:r>
        <w:rPr>
          <w:b w:val="0"/>
          <w:i w:val="0"/>
          <w:sz w:val="22"/>
        </w:rPr>
        <w:t>Participantes con experiencia previa en avatares/agentes (≠ «Nunca»): 12/15 (80%).</w:t>
      </w:r>
    </w:p>
    <w:p>
      <w:r>
        <w:rPr>
          <w:b w:val="0"/>
          <w:i w:val="0"/>
          <w:sz w:val="22"/>
        </w:rPr>
        <w:t>Uso frecuente de asistentes digitales (diario o casi diario): 6/15 (40%).</w:t>
      </w:r>
    </w:p>
    <w:p>
      <w:r>
        <w:rPr>
          <w:b w:val="0"/>
          <w:i w:val="0"/>
          <w:sz w:val="22"/>
        </w:rPr>
        <w:t>Estas variables no alimentan las pruebas inferenciales de RQ1–RQ3; se reportan de forma descriptiva para caracterizar la muestra del piloto.</w:t>
      </w:r>
    </w:p>
    <w:p>
      <w:pPr>
        <w:pStyle w:val="Heading2"/>
      </w:pPr>
      <w:r>
        <w:t>Tabla P. Perfil de participantes (Form 0)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47"/>
        <w:gridCol w:w="1847"/>
        <w:gridCol w:w="1847"/>
        <w:gridCol w:w="1847"/>
        <w:gridCol w:w="1847"/>
      </w:tblGrid>
      <w:tr>
        <w:tc>
          <w:tcPr>
            <w:tcW w:type="dxa" w:w="1847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P##</w:t>
            </w:r>
          </w:p>
        </w:tc>
        <w:tc>
          <w:tcPr>
            <w:tcW w:type="dxa" w:w="1847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Edad</w:t>
            </w:r>
          </w:p>
        </w:tc>
        <w:tc>
          <w:tcPr>
            <w:tcW w:type="dxa" w:w="1847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Educación</w:t>
            </w:r>
          </w:p>
        </w:tc>
        <w:tc>
          <w:tcPr>
            <w:tcW w:type="dxa" w:w="1847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Asistentes digitales</w:t>
            </w:r>
          </w:p>
        </w:tc>
        <w:tc>
          <w:tcPr>
            <w:tcW w:type="dxa" w:w="1847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Avatares/agentes</w:t>
            </w:r>
          </w:p>
        </w:tc>
      </w:tr>
      <w:tr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P01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25–34 años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Universidad completa (grado / licenciatura)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Algunas veces por semana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Algunas veces</w:t>
            </w:r>
          </w:p>
        </w:tc>
      </w:tr>
      <w:tr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P02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35–44 años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Posgrado (maestría / doctorado)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Casi todos los días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Con frecuencia</w:t>
            </w:r>
          </w:p>
        </w:tc>
      </w:tr>
      <w:tr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P03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18–24 años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Universidad incompleta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Varias veces al día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Una o pocas veces</w:t>
            </w:r>
          </w:p>
        </w:tc>
      </w:tr>
      <w:tr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P04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45–54 años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Técnico / diplomado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Algunas veces al mes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Nunca</w:t>
            </w:r>
          </w:p>
        </w:tc>
      </w:tr>
      <w:tr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P05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25–34 años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Universidad completa (grado / licenciatura)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Casi todos los días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Algunas veces</w:t>
            </w:r>
          </w:p>
        </w:tc>
      </w:tr>
      <w:tr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P06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55–64 años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Secundaria completa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Nunca o casi nunca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Una o pocas veces</w:t>
            </w:r>
          </w:p>
        </w:tc>
      </w:tr>
      <w:tr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P07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18–24 años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Secundaria completa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Varias veces al día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Algunas veces</w:t>
            </w:r>
          </w:p>
        </w:tc>
      </w:tr>
      <w:tr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P08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25–34 años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Técnico / diplomado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Nunca o casi nunca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Con frecuencia</w:t>
            </w:r>
          </w:p>
        </w:tc>
      </w:tr>
      <w:tr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P09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35–44 años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Universidad incompleta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Algunas veces al mes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Nunca</w:t>
            </w:r>
          </w:p>
        </w:tc>
      </w:tr>
      <w:tr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P10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45–54 años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Universidad completa (grado / licenciatura)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Algunas veces por semana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Una o pocas veces</w:t>
            </w:r>
          </w:p>
        </w:tc>
      </w:tr>
      <w:tr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P11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55–64 años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Posgrado (maestría / doctorado)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Casi todos los días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Algunas veces</w:t>
            </w:r>
          </w:p>
        </w:tc>
      </w:tr>
      <w:tr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P12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65 años o más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Otro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Varias veces al día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Con frecuencia</w:t>
            </w:r>
          </w:p>
        </w:tc>
      </w:tr>
      <w:tr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P13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18–24 años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Primaria completa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Nunca o casi nunca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Nunca</w:t>
            </w:r>
          </w:p>
        </w:tc>
      </w:tr>
      <w:tr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P14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25–34 años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Secundaria completa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Algunas veces al mes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Una o pocas veces</w:t>
            </w:r>
          </w:p>
        </w:tc>
      </w:tr>
      <w:tr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P15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35–44 años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Técnico / diplomado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Algunas veces por semana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Algunas veces</w:t>
            </w:r>
          </w:p>
        </w:tc>
      </w:tr>
    </w:tbl>
    <w:p/>
    <w:p>
      <w:pPr>
        <w:pStyle w:val="Heading1"/>
      </w:pPr>
      <w:r>
        <w:t>3. RQ1 — Precisión</w:t>
      </w:r>
    </w:p>
    <w:p>
      <w:r>
        <w:rPr>
          <w:b w:val="0"/>
          <w:i w:val="0"/>
          <w:sz w:val="22"/>
        </w:rPr>
        <w:t>RQ1 pregunta si cambia el porcentaje de aciertos entre A, B y C.</w:t>
      </w:r>
    </w:p>
    <w:p>
      <w:r>
        <w:rPr>
          <w:b w:val="0"/>
          <w:i w:val="0"/>
          <w:sz w:val="22"/>
        </w:rPr>
        <w:t>La Tabla 1 resume la precisión media del grupo (% de respuestas correctas por bloque de 6 ítems).</w:t>
      </w:r>
    </w:p>
    <w:p>
      <w:r>
        <w:rPr>
          <w:b w:val="0"/>
          <w:i w:val="0"/>
          <w:sz w:val="22"/>
        </w:rPr>
        <w:t>A (sin agente): media 48.89 % (n=15 participantes).</w:t>
      </w:r>
    </w:p>
    <w:p>
      <w:r>
        <w:rPr>
          <w:b w:val="0"/>
          <w:i w:val="0"/>
          <w:sz w:val="22"/>
        </w:rPr>
        <w:t>B (chat texto): media 78.89 % (n=15 participantes).</w:t>
      </w:r>
    </w:p>
    <w:p>
      <w:r>
        <w:rPr>
          <w:b w:val="0"/>
          <w:i w:val="0"/>
          <w:sz w:val="22"/>
        </w:rPr>
        <w:t>C (avatar y voz): media 75.56 % (n=15 participantes).</w:t>
      </w:r>
    </w:p>
    <w:p>
      <w:pPr>
        <w:pStyle w:val="Heading2"/>
      </w:pPr>
      <w:r>
        <w:t>Tabla 1. Precisión por condición (% aciertos)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Condición</w:t>
            </w:r>
          </w:p>
        </w:tc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Media %</w:t>
            </w:r>
          </w:p>
        </w:tc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48.89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15</w:t>
            </w:r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78.89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15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75.56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15</w:t>
            </w:r>
          </w:p>
        </w:tc>
      </w:tr>
    </w:tbl>
    <w:p/>
    <w:p>
      <w:pPr>
        <w:pStyle w:val="Heading2"/>
      </w:pPr>
      <w:r>
        <w:t>Precisión por participante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Participante</w:t>
            </w:r>
          </w:p>
        </w:tc>
        <w:tc>
          <w:tcPr>
            <w:tcW w:type="dxa" w:w="230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 %</w:t>
            </w:r>
          </w:p>
        </w:tc>
        <w:tc>
          <w:tcPr>
            <w:tcW w:type="dxa" w:w="230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 %</w:t>
            </w:r>
          </w:p>
        </w:tc>
        <w:tc>
          <w:tcPr>
            <w:tcW w:type="dxa" w:w="230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 %</w:t>
            </w:r>
          </w:p>
        </w:tc>
      </w:tr>
      <w:tr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P01_ID-2026061700000000-1000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33.33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83.33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100.0</w:t>
            </w:r>
          </w:p>
        </w:tc>
      </w:tr>
      <w:tr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P02_ID-2026061700010000-1001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33.33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66.67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66.67</w:t>
            </w:r>
          </w:p>
        </w:tc>
      </w:tr>
      <w:tr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P03_ID-2026061700020000-1002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50.0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66.67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66.67</w:t>
            </w:r>
          </w:p>
        </w:tc>
      </w:tr>
      <w:tr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P04_ID-2026061700030000-1003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50.0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66.67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66.67</w:t>
            </w:r>
          </w:p>
        </w:tc>
      </w:tr>
      <w:tr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P05_ID-2026061700040000-1004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66.67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100.0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66.67</w:t>
            </w:r>
          </w:p>
        </w:tc>
      </w:tr>
      <w:tr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P06_ID-2026061700050000-1005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0.0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50.0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83.33</w:t>
            </w:r>
          </w:p>
        </w:tc>
      </w:tr>
      <w:tr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P07_ID-2026061700060000-1006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83.33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83.33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100.0</w:t>
            </w:r>
          </w:p>
        </w:tc>
      </w:tr>
      <w:tr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P08_ID-2026061700070000-1007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83.33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83.33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100.0</w:t>
            </w:r>
          </w:p>
        </w:tc>
      </w:tr>
      <w:tr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P09_ID-2026061700080000-1008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50.0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83.33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66.67</w:t>
            </w:r>
          </w:p>
        </w:tc>
      </w:tr>
      <w:tr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P10_ID-2026061700090000-1009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50.0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83.33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100.0</w:t>
            </w:r>
          </w:p>
        </w:tc>
      </w:tr>
      <w:tr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P11_ID-2026061700100000-1010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33.33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66.67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100.0</w:t>
            </w:r>
          </w:p>
        </w:tc>
      </w:tr>
      <w:tr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P12_ID-2026061700110000-1011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83.33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83.33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50.0</w:t>
            </w:r>
          </w:p>
        </w:tc>
      </w:tr>
      <w:tr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P13_ID-2026061700120000-1012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33.33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83.33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83.33</w:t>
            </w:r>
          </w:p>
        </w:tc>
      </w:tr>
      <w:tr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P14_ID-2026061700130000-1013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66.67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83.33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33.33</w:t>
            </w:r>
          </w:p>
        </w:tc>
      </w:tr>
      <w:tr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P15_ID-2026061700140000-1014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16.67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100.0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50.0</w:t>
            </w:r>
          </w:p>
        </w:tc>
      </w:tr>
    </w:tbl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47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1_preci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7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268"/>
          <w:sz w:val="20"/>
        </w:rPr>
        <w:t>Figura 1. Precisión media por condición</w:t>
      </w:r>
    </w:p>
    <w:p/>
    <w:p>
      <w:pPr>
        <w:pStyle w:val="Heading2"/>
      </w:pPr>
      <w:r>
        <w:t>Cómo interpretar este resultado</w:t>
      </w:r>
    </w:p>
    <w:p>
      <w:r>
        <w:rPr>
          <w:b w:val="0"/>
          <w:i w:val="0"/>
          <w:sz w:val="22"/>
        </w:rPr>
        <w:t>¿Qué es la precisión? Es el porcentaje de respuestas correctas en cada bloque (6 preguntas por condición). Un 50 % significa acertar la mitad; 100 %, todas.</w:t>
      </w:r>
    </w:p>
    <w:p>
      <w:r>
        <w:rPr>
          <w:b w:val="0"/>
          <w:i w:val="0"/>
          <w:sz w:val="22"/>
        </w:rPr>
        <w:t>Las tres barras de la Figura 1 comparan el desempeño medio del grupo en cada modalidad. Las líneas verticales sobre cada barra (barras de error) indican la variabilidad entre participantes: a mayor línea, más distintos fueron entre sí.</w:t>
      </w:r>
    </w:p>
    <w:p>
      <w:r>
        <w:rPr>
          <w:b w:val="0"/>
          <w:i w:val="0"/>
          <w:sz w:val="22"/>
        </w:rPr>
        <w:t>En este piloto, sin agente (A) la media fue 48.9 %. Con agente, chat (B) alcanzó 78.9 % y avatar (C) 75.6 %.</w:t>
      </w:r>
    </w:p>
    <w:p>
      <w:r>
        <w:rPr>
          <w:b w:val="0"/>
          <w:i w:val="0"/>
          <w:sz w:val="22"/>
        </w:rPr>
        <w:t>Lectura principal: tener asistencia (B o C) se asocia con más aciertos que resolver solo (A). Eso apoya la idea de que el agente ayuda a aplicar las reglas.</w:t>
      </w:r>
    </w:p>
    <w:p>
      <w:r>
        <w:rPr>
          <w:b w:val="0"/>
          <w:i w:val="0"/>
          <w:sz w:val="22"/>
        </w:rPr>
        <w:t>Entre B y C la diferencia es pequeña (3.3 puntos). En lenguaje simple: cambiar de chat a avatar no pareció alterar mucho cuántas respuestas correctas hubo; la ayuda importó más que la modalidad.</w:t>
      </w:r>
    </w:p>
    <w:p>
      <w:r>
        <w:rPr>
          <w:b w:val="0"/>
          <w:i w:val="0"/>
          <w:sz w:val="22"/>
        </w:rPr>
        <w:t>Importante: estas cifras describen el piloto. No prueban por sí solas que un avatar sea mejor o peor; para eso harían falta más participantes y pruebas inferenciales (ver anexo).</w:t>
      </w:r>
    </w:p>
    <w:p>
      <w:pPr>
        <w:pStyle w:val="Heading1"/>
      </w:pPr>
      <w:r>
        <w:t>4. RQ2 — Confianza</w:t>
      </w:r>
    </w:p>
    <w:p>
      <w:r>
        <w:rPr>
          <w:b w:val="0"/>
          <w:i w:val="0"/>
          <w:sz w:val="22"/>
        </w:rPr>
        <w:t>RQ2 indaga si la confianza declarada tras cada respuesta varía entre condiciones.</w:t>
      </w:r>
    </w:p>
    <w:p>
      <w:r>
        <w:rPr>
          <w:b w:val="0"/>
          <w:i w:val="0"/>
          <w:sz w:val="22"/>
        </w:rPr>
        <w:t>La Tabla 2 resume la confianza media en la escala 1–7 registrada en Unity.</w:t>
      </w:r>
    </w:p>
    <w:p>
      <w:r>
        <w:rPr>
          <w:b w:val="0"/>
          <w:i w:val="0"/>
          <w:sz w:val="22"/>
        </w:rPr>
        <w:t>A (sin agente): media 3.144 (n=15).</w:t>
      </w:r>
    </w:p>
    <w:p>
      <w:r>
        <w:rPr>
          <w:b w:val="0"/>
          <w:i w:val="0"/>
          <w:sz w:val="22"/>
        </w:rPr>
        <w:t>B (chat texto): media 4.911 (n=15).</w:t>
      </w:r>
    </w:p>
    <w:p>
      <w:r>
        <w:rPr>
          <w:b w:val="0"/>
          <w:i w:val="0"/>
          <w:sz w:val="22"/>
        </w:rPr>
        <w:t>C (avatar y voz): media 5.844 (n=15).</w:t>
      </w:r>
    </w:p>
    <w:p>
      <w:pPr>
        <w:pStyle w:val="Heading2"/>
      </w:pPr>
      <w:r>
        <w:t>Tabla 2. Confianza media (Unity, 1–7)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Condición</w:t>
            </w:r>
          </w:p>
        </w:tc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Media</w:t>
            </w:r>
          </w:p>
        </w:tc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3.144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15</w:t>
            </w:r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4.911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15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5.844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15</w:t>
            </w:r>
          </w:p>
        </w:tc>
      </w:tr>
    </w:tbl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478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2_conf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7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268"/>
          <w:sz w:val="20"/>
        </w:rPr>
        <w:t>Figura 2. Confianza media por condición</w:t>
      </w:r>
    </w:p>
    <w:p/>
    <w:p>
      <w:pPr>
        <w:pStyle w:val="Heading2"/>
      </w:pPr>
      <w:r>
        <w:t>4.1 Cuestionarios (RAW-TLX / meCUE)</w:t>
      </w:r>
    </w:p>
    <w:p>
      <w:r>
        <w:rPr>
          <w:b w:val="0"/>
          <w:i w:val="0"/>
          <w:sz w:val="22"/>
        </w:rPr>
        <w:t>RAW-TLX (Google Forms) por participante y bloque:</w:t>
      </w:r>
    </w:p>
    <w:p>
      <w:r>
        <w:rPr>
          <w:b w:val="0"/>
          <w:i w:val="0"/>
          <w:sz w:val="22"/>
        </w:rPr>
        <w:t>P01: A=5.333, B=5.333, C=4.667.</w:t>
      </w:r>
    </w:p>
    <w:p>
      <w:r>
        <w:rPr>
          <w:b w:val="0"/>
          <w:i w:val="0"/>
          <w:sz w:val="22"/>
        </w:rPr>
        <w:t>P02: A=5.0, B=5.0, C=4.333.</w:t>
      </w:r>
    </w:p>
    <w:p>
      <w:r>
        <w:rPr>
          <w:b w:val="0"/>
          <w:i w:val="0"/>
          <w:sz w:val="22"/>
        </w:rPr>
        <w:t>P03: A=4.5, B=4.5, C=4.5.</w:t>
      </w:r>
    </w:p>
    <w:p>
      <w:r>
        <w:rPr>
          <w:b w:val="0"/>
          <w:i w:val="0"/>
          <w:sz w:val="22"/>
        </w:rPr>
        <w:t>P04: A=5.5, B=5.5, C=4.833.</w:t>
      </w:r>
    </w:p>
    <w:p>
      <w:r>
        <w:rPr>
          <w:b w:val="0"/>
          <w:i w:val="0"/>
          <w:sz w:val="22"/>
        </w:rPr>
        <w:t>P05: A=4.167, B=4.167, C=4.667.</w:t>
      </w:r>
    </w:p>
    <w:p>
      <w:r>
        <w:rPr>
          <w:b w:val="0"/>
          <w:i w:val="0"/>
          <w:sz w:val="22"/>
        </w:rPr>
        <w:t>P06: A=4.5, B=4.5, C=4.333.</w:t>
      </w:r>
    </w:p>
    <w:p>
      <w:r>
        <w:rPr>
          <w:b w:val="0"/>
          <w:i w:val="0"/>
          <w:sz w:val="22"/>
        </w:rPr>
        <w:t>P07: A=5.333, B=5.333, C=4.667.</w:t>
      </w:r>
    </w:p>
    <w:p>
      <w:r>
        <w:rPr>
          <w:b w:val="0"/>
          <w:i w:val="0"/>
          <w:sz w:val="22"/>
        </w:rPr>
        <w:t>P08: A=4.833, B=4.833, C=4.833.</w:t>
      </w:r>
    </w:p>
    <w:p>
      <w:r>
        <w:rPr>
          <w:b w:val="0"/>
          <w:i w:val="0"/>
          <w:sz w:val="22"/>
        </w:rPr>
        <w:t>P09: A=5.167, B=5.167, C=4.5.</w:t>
      </w:r>
    </w:p>
    <w:p>
      <w:r>
        <w:rPr>
          <w:b w:val="0"/>
          <w:i w:val="0"/>
          <w:sz w:val="22"/>
        </w:rPr>
        <w:t>P10: A=4.667, B=4.667, C=5.167.</w:t>
      </w:r>
    </w:p>
    <w:p>
      <w:r>
        <w:rPr>
          <w:b w:val="0"/>
          <w:i w:val="0"/>
          <w:sz w:val="22"/>
        </w:rPr>
        <w:t>P11: A=5.167, B=5.167, C=4.167.</w:t>
      </w:r>
    </w:p>
    <w:p>
      <w:r>
        <w:rPr>
          <w:b w:val="0"/>
          <w:i w:val="0"/>
          <w:sz w:val="22"/>
        </w:rPr>
        <w:t>P12: A=4.5, B=4.5, C=3.833.</w:t>
      </w:r>
    </w:p>
    <w:p>
      <w:r>
        <w:rPr>
          <w:b w:val="0"/>
          <w:i w:val="0"/>
          <w:sz w:val="22"/>
        </w:rPr>
        <w:t>P13: A=5.333, B=5.333, C=4.667.</w:t>
      </w:r>
    </w:p>
    <w:p>
      <w:r>
        <w:rPr>
          <w:b w:val="0"/>
          <w:i w:val="0"/>
          <w:sz w:val="22"/>
        </w:rPr>
        <w:t>P14: A=4.333, B=4.333, C=5.0.</w:t>
      </w:r>
    </w:p>
    <w:p>
      <w:r>
        <w:rPr>
          <w:b w:val="0"/>
          <w:i w:val="0"/>
          <w:sz w:val="22"/>
        </w:rPr>
        <w:t>P15: A=4.333, B=4.333, C=4.5.</w:t>
      </w:r>
    </w:p>
    <w:p>
      <w:pPr>
        <w:pStyle w:val="Heading2"/>
      </w:pPr>
      <w:r>
        <w:t>RAW-TLX por participante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P##</w:t>
            </w:r>
          </w:p>
        </w:tc>
        <w:tc>
          <w:tcPr>
            <w:tcW w:type="dxa" w:w="230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</w:t>
            </w:r>
          </w:p>
        </w:tc>
        <w:tc>
          <w:tcPr>
            <w:tcW w:type="dxa" w:w="230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</w:t>
            </w:r>
          </w:p>
        </w:tc>
        <w:tc>
          <w:tcPr>
            <w:tcW w:type="dxa" w:w="230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</w:t>
            </w:r>
          </w:p>
        </w:tc>
      </w:tr>
      <w:tr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P01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5.333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5.333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4.667</w:t>
            </w:r>
          </w:p>
        </w:tc>
      </w:tr>
      <w:tr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P02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5.0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5.0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4.333</w:t>
            </w:r>
          </w:p>
        </w:tc>
      </w:tr>
      <w:tr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P03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4.5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4.5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4.5</w:t>
            </w:r>
          </w:p>
        </w:tc>
      </w:tr>
      <w:tr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P04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5.5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5.5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4.833</w:t>
            </w:r>
          </w:p>
        </w:tc>
      </w:tr>
      <w:tr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P05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4.167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4.167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4.667</w:t>
            </w:r>
          </w:p>
        </w:tc>
      </w:tr>
      <w:tr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P06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4.5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4.5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4.333</w:t>
            </w:r>
          </w:p>
        </w:tc>
      </w:tr>
      <w:tr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P07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5.333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5.333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4.667</w:t>
            </w:r>
          </w:p>
        </w:tc>
      </w:tr>
      <w:tr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P08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4.833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4.833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4.833</w:t>
            </w:r>
          </w:p>
        </w:tc>
      </w:tr>
      <w:tr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P09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5.167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5.167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4.5</w:t>
            </w:r>
          </w:p>
        </w:tc>
      </w:tr>
      <w:tr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P10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4.667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4.667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5.167</w:t>
            </w:r>
          </w:p>
        </w:tc>
      </w:tr>
      <w:tr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P11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5.167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5.167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4.167</w:t>
            </w:r>
          </w:p>
        </w:tc>
      </w:tr>
      <w:tr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P12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4.5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4.5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3.833</w:t>
            </w:r>
          </w:p>
        </w:tc>
      </w:tr>
      <w:tr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P13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5.333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5.333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4.667</w:t>
            </w:r>
          </w:p>
        </w:tc>
      </w:tr>
      <w:tr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P14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4.333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4.333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5.0</w:t>
            </w:r>
          </w:p>
        </w:tc>
      </w:tr>
      <w:tr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P15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4.333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4.333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4.5</w:t>
            </w:r>
          </w:p>
        </w:tc>
      </w:tr>
    </w:tbl>
    <w:p/>
    <w:p>
      <w:pPr>
        <w:pStyle w:val="Heading2"/>
      </w:pPr>
      <w:r>
        <w:t>Cómo interpretar este resultado</w:t>
      </w:r>
    </w:p>
    <w:p>
      <w:r>
        <w:rPr>
          <w:b w:val="0"/>
          <w:i w:val="0"/>
          <w:sz w:val="22"/>
        </w:rPr>
        <w:t>¿Qué es la confianza? Tras cada respuesta, el participante indicó en una escala de 1 a 7 cuán seguro estaba (1 = nada seguro, 7 = muy seguro). Es una medida subjetiva, no de acierto.</w:t>
      </w:r>
    </w:p>
    <w:p>
      <w:r>
        <w:rPr>
          <w:b w:val="0"/>
          <w:i w:val="0"/>
          <w:sz w:val="22"/>
        </w:rPr>
        <w:t>La Figura 2 muestra la confianza media por condición. Valores más altos indican que, en promedio, las personas se sintieron más seguras al responder.</w:t>
      </w:r>
    </w:p>
    <w:p>
      <w:r>
        <w:rPr>
          <w:b w:val="0"/>
          <w:i w:val="0"/>
          <w:sz w:val="22"/>
        </w:rPr>
        <w:t>Medias observadas: A (sin agente): 3.14; B (chat texto): 4.91; C (avatar y voz): 5.84.</w:t>
      </w:r>
    </w:p>
    <w:p>
      <w:r>
        <w:rPr>
          <w:b w:val="0"/>
          <w:i w:val="0"/>
          <w:sz w:val="22"/>
        </w:rPr>
        <w:t>La confianza fue mayor con agente que sin agente. Las diferencias entre B y C son más sutiles y deben leerse con cautela.</w:t>
      </w:r>
    </w:p>
    <w:p>
      <w:r>
        <w:rPr>
          <w:b w:val="0"/>
          <w:i w:val="0"/>
          <w:sz w:val="22"/>
        </w:rPr>
        <w:t>RAW-TLX (cuestionario post-bloque): mide carga de trabajo percibida. Puntuaciones más altas = la tarea se sintió más exigente (mental, temporal, etc.). Se usa para contextualizar si una condición «costó» más esfuerzo.</w:t>
      </w:r>
    </w:p>
    <w:p>
      <w:r>
        <w:rPr>
          <w:b w:val="0"/>
          <w:i w:val="0"/>
          <w:sz w:val="22"/>
        </w:rPr>
        <w:t>meCUE (solo en B y C): evalúa la experiencia con el agente conversacional (utilidad, naturalidad, etc.). Valores más altos suelen indicar mejor percepción del sistema. No mide aciertos, sino cómo se vivió la interacción.</w:t>
      </w:r>
    </w:p>
    <w:p>
      <w:r>
        <w:rPr>
          <w:b w:val="0"/>
          <w:i w:val="0"/>
          <w:sz w:val="22"/>
        </w:rPr>
        <w:t>Carga media (RAW-TLX): A=4.8, B=4.8, C=4.6. Si C es similar o algo mayor que B, puede reflejar el esfuerzo extra de seguir voz y avatar; si es menor, la modalidad no añadió carga percibida.</w:t>
      </w:r>
    </w:p>
    <w:p>
      <w:pPr>
        <w:pStyle w:val="Heading1"/>
      </w:pPr>
      <w:r>
        <w:t>5. RQ3 — Calibración</w:t>
      </w:r>
    </w:p>
    <w:p>
      <w:r>
        <w:rPr>
          <w:b w:val="0"/>
          <w:i w:val="0"/>
          <w:sz w:val="22"/>
        </w:rPr>
        <w:t>RQ3 examina la calibración: si la confianza reportada coincide con el desempeño real.</w:t>
      </w:r>
    </w:p>
    <w:p>
      <w:r>
        <w:rPr>
          <w:b w:val="0"/>
          <w:i w:val="0"/>
          <w:sz w:val="22"/>
        </w:rPr>
        <w:t>La brecha se calcula como confianza normalizada ((valor−1)/6) menos la proporción de aciertos del bloque. La Tabla 3 muestra la brecha media por condición.</w:t>
      </w:r>
    </w:p>
    <w:p>
      <w:r>
        <w:rPr>
          <w:b w:val="0"/>
          <w:i w:val="0"/>
          <w:sz w:val="22"/>
        </w:rPr>
        <w:t>A (sin agente): brecha media -0.1315 (n=15).</w:t>
      </w:r>
    </w:p>
    <w:p>
      <w:r>
        <w:rPr>
          <w:b w:val="0"/>
          <w:i w:val="0"/>
          <w:sz w:val="22"/>
        </w:rPr>
        <w:t>B (chat texto): brecha media -0.137 (n=15).</w:t>
      </w:r>
    </w:p>
    <w:p>
      <w:r>
        <w:rPr>
          <w:b w:val="0"/>
          <w:i w:val="0"/>
          <w:sz w:val="22"/>
        </w:rPr>
        <w:t>C (avatar y voz): brecha media 0.0519 (n=15).</w:t>
      </w:r>
    </w:p>
    <w:p>
      <w:pPr>
        <w:pStyle w:val="Heading2"/>
      </w:pPr>
      <w:r>
        <w:t>Tabla 3. Brecha de calibración por condición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Condición</w:t>
            </w:r>
          </w:p>
        </w:tc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 media</w:t>
            </w:r>
          </w:p>
        </w:tc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-0.1315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15</w:t>
            </w:r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-0.137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15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0.0519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15</w:t>
            </w:r>
          </w:p>
        </w:tc>
      </w:tr>
    </w:tbl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883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3_calibration_g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8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268"/>
          <w:sz w:val="20"/>
        </w:rPr>
        <w:t>Figura 3. Brecha de calibración por condición</w:t>
      </w:r>
    </w:p>
    <w:p/>
    <w:p>
      <w:pPr>
        <w:pStyle w:val="Heading2"/>
      </w:pPr>
      <w:r>
        <w:t>Cómo interpretar este resultado</w:t>
      </w:r>
    </w:p>
    <w:p>
      <w:r>
        <w:rPr>
          <w:b w:val="0"/>
          <w:i w:val="0"/>
          <w:sz w:val="22"/>
        </w:rPr>
        <w:t>¿Qué es la brecha de calibración? Resume si la confianza declarada «calza» con el desempeño real. Se calcula así: se normaliza la confianza (escala 0–1) y se resta la proporción de aciertos del bloque.</w:t>
      </w:r>
    </w:p>
    <w:p>
      <w:r>
        <w:rPr>
          <w:b w:val="0"/>
          <w:i w:val="0"/>
          <w:sz w:val="22"/>
        </w:rPr>
        <w:t>Cómo leer el número:</w:t>
      </w:r>
    </w:p>
    <w:p>
      <w:r>
        <w:rPr>
          <w:b w:val="0"/>
          <w:i w:val="0"/>
          <w:sz w:val="22"/>
        </w:rPr>
        <w:t xml:space="preserve">  • Cerca de 0: la confianza y los aciertos van alineados.</w:t>
      </w:r>
    </w:p>
    <w:p>
      <w:r>
        <w:rPr>
          <w:b w:val="0"/>
          <w:i w:val="0"/>
          <w:sz w:val="22"/>
        </w:rPr>
        <w:t xml:space="preserve">  • Valor positivo: más confianza que aciertos → posible sobreconfianza.</w:t>
      </w:r>
    </w:p>
    <w:p>
      <w:r>
        <w:rPr>
          <w:b w:val="0"/>
          <w:i w:val="0"/>
          <w:sz w:val="22"/>
        </w:rPr>
        <w:t xml:space="preserve">  • Valor negativo: menos confianza que aciertos → posible subconfianza.</w:t>
      </w:r>
    </w:p>
    <w:p>
      <w:r>
        <w:rPr>
          <w:b w:val="0"/>
          <w:i w:val="0"/>
          <w:sz w:val="22"/>
        </w:rPr>
        <w:t>La Figura 3 compara esa brecha entre condiciones. No es un «error» del participante; describe el ajuste entre lo que siente y lo que logra.</w:t>
      </w:r>
    </w:p>
    <w:p>
      <w:r>
        <w:rPr>
          <w:b w:val="0"/>
          <w:i w:val="0"/>
          <w:sz w:val="22"/>
        </w:rPr>
        <w:t>A (sin agente): brecha -0.132 (subconfianza).</w:t>
      </w:r>
    </w:p>
    <w:p>
      <w:r>
        <w:rPr>
          <w:b w:val="0"/>
          <w:i w:val="0"/>
          <w:sz w:val="22"/>
        </w:rPr>
        <w:t>B (chat texto): brecha -0.137 (subconfianza).</w:t>
      </w:r>
    </w:p>
    <w:p>
      <w:r>
        <w:rPr>
          <w:b w:val="0"/>
          <w:i w:val="0"/>
          <w:sz w:val="22"/>
        </w:rPr>
        <w:t>C (avatar y voz): brecha 0.052 (sobreconfianza moderada).</w:t>
      </w:r>
    </w:p>
    <w:p>
      <w:r>
        <w:rPr>
          <w:b w:val="0"/>
          <w:i w:val="0"/>
          <w:sz w:val="22"/>
        </w:rPr>
        <w:t>La brecha más alta en C encaja con H3: el avatar puede aumentar la sensación de dominio sin subir los aciertos en la misma proporción → más riesgo de creer que se acertó cuando no fue así.</w:t>
      </w:r>
    </w:p>
    <w:p>
      <w:r>
        <w:rPr>
          <w:b w:val="0"/>
          <w:i w:val="0"/>
          <w:sz w:val="22"/>
        </w:rPr>
        <w:t>Interpretación práctica: un agente muy «convincente» (voz, presencia) puede elevar la confianza aunque la precisión se mantenga; por eso conviene mirar RQ1 y RQ3 juntos.</w:t>
      </w:r>
    </w:p>
    <w:p>
      <w:pPr>
        <w:pStyle w:val="Heading2"/>
      </w:pPr>
      <w:r>
        <w:t>Evaluación de hipótesis H1–H3</w:t>
      </w:r>
    </w:p>
    <w:p>
      <w:r>
        <w:rPr>
          <w:b w:val="0"/>
          <w:i w:val="0"/>
          <w:sz w:val="22"/>
        </w:rPr>
        <w:t>Las hipótesis exploratorias del Entregable 2 se leen contra las medias de este piloto:</w:t>
      </w:r>
    </w:p>
    <w:p>
      <w:r>
        <w:rPr>
          <w:b w:val="0"/>
          <w:i w:val="0"/>
          <w:sz w:val="22"/>
        </w:rPr>
        <w:t>H1 — Precisión C ≈ B &gt; A: se espera que el agente ayude (B y C por encima de A) y que avatar y chat rindan parecido en aciertos.</w:t>
      </w:r>
    </w:p>
    <w:p>
      <w:r>
        <w:rPr>
          <w:b w:val="0"/>
          <w:i w:val="0"/>
          <w:sz w:val="22"/>
        </w:rPr>
        <w:t>H2 — Confianza C &gt; B &gt; A: se espera más seguridad al responder cuando hay agente, y algo más con avatar.</w:t>
      </w:r>
    </w:p>
    <w:p>
      <w:r>
        <w:rPr>
          <w:b w:val="0"/>
          <w:i w:val="0"/>
          <w:sz w:val="22"/>
        </w:rPr>
        <w:t>H3 — Mayor brecha en C: se espera más desajuste confianza–aciertos en la condición con avatar (más confianza sin ganancia proporcional en precisión).</w:t>
      </w:r>
    </w:p>
    <w:p>
      <w:r>
        <w:rPr>
          <w:b w:val="0"/>
          <w:i w:val="0"/>
          <w:sz w:val="22"/>
        </w:rPr>
        <w:t>H1: patrón compatible (A menor; B y C cercanas).</w:t>
      </w:r>
    </w:p>
    <w:p>
      <w:r>
        <w:rPr>
          <w:b w:val="0"/>
          <w:i w:val="0"/>
          <w:sz w:val="22"/>
        </w:rPr>
        <w:t>H2: patrón compatible (A &lt; B &lt; C).</w:t>
      </w:r>
    </w:p>
    <w:p>
      <w:r>
        <w:rPr>
          <w:b w:val="0"/>
          <w:i w:val="0"/>
          <w:sz w:val="22"/>
        </w:rPr>
        <w:t>H3: patrón compatible (mayor brecha en C).</w:t>
      </w:r>
    </w:p>
    <w:p>
      <w:r>
        <w:rPr>
          <w:b w:val="0"/>
          <w:i w:val="0"/>
          <w:sz w:val="22"/>
        </w:rPr>
        <w:t>Estas evaluaciones son descriptivas (piloto pequeño). La significancia estadística aparece en el anexo (Friedman / Wilcoxon); una p &gt; 0,05 significa «no hay evidencia suficiente de diferencia», no que las condiciones sean idénticas.</w:t>
      </w:r>
    </w:p>
    <w:p>
      <w:pPr>
        <w:pStyle w:val="Heading1"/>
      </w:pPr>
      <w:r>
        <w:t>6. Agente (B vs C)</w:t>
      </w:r>
    </w:p>
    <w:p>
      <w:r>
        <w:rPr>
          <w:b w:val="0"/>
          <w:i w:val="0"/>
          <w:sz w:val="22"/>
        </w:rPr>
        <w:t>Comparación exploratoria del agente entre condiciones B (texto) y C (avatar + voz):</w:t>
      </w:r>
    </w:p>
    <w:p>
      <w:r>
        <w:rPr>
          <w:b w:val="0"/>
          <w:i w:val="0"/>
          <w:sz w:val="22"/>
        </w:rPr>
        <w:t>HelpScore: media B=64.087 (n=15), media C=75.4 (n=15).</w:t>
      </w:r>
    </w:p>
    <w:p>
      <w:r>
        <w:rPr>
          <w:b w:val="0"/>
          <w:i w:val="0"/>
          <w:sz w:val="22"/>
        </w:rPr>
        <w:t>Engagement: media B=55.987 (n=15), media C=65.727 (n=15).</w:t>
      </w:r>
    </w:p>
    <w:p>
      <w:r>
        <w:rPr>
          <w:b w:val="0"/>
          <w:i w:val="0"/>
          <w:sz w:val="22"/>
        </w:rPr>
        <w:t>ChatExchanges: media B=4.133 (n=15), media C=5.733 (n=15).</w:t>
      </w:r>
    </w:p>
    <w:p>
      <w:r>
        <w:rPr>
          <w:b w:val="0"/>
          <w:i w:val="0"/>
          <w:sz w:val="22"/>
        </w:rPr>
        <w:t>ModelLeaks: media B=0.4 (n=15), media C=0.267 (n=15).</w:t>
      </w:r>
    </w:p>
    <w:p>
      <w:pPr>
        <w:pStyle w:val="Heading2"/>
      </w:pPr>
      <w:r>
        <w:t>Métricas agregadas B vs 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47"/>
        <w:gridCol w:w="1847"/>
        <w:gridCol w:w="1847"/>
        <w:gridCol w:w="1847"/>
        <w:gridCol w:w="1847"/>
      </w:tblGrid>
      <w:tr>
        <w:tc>
          <w:tcPr>
            <w:tcW w:type="dxa" w:w="1847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1847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Media B</w:t>
            </w:r>
          </w:p>
        </w:tc>
        <w:tc>
          <w:tcPr>
            <w:tcW w:type="dxa" w:w="1847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 B</w:t>
            </w:r>
          </w:p>
        </w:tc>
        <w:tc>
          <w:tcPr>
            <w:tcW w:type="dxa" w:w="1847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Media C</w:t>
            </w:r>
          </w:p>
        </w:tc>
        <w:tc>
          <w:tcPr>
            <w:tcW w:type="dxa" w:w="1847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 C</w:t>
            </w:r>
          </w:p>
        </w:tc>
      </w:tr>
      <w:tr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HelpScore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64.087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75.4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15</w:t>
            </w:r>
          </w:p>
        </w:tc>
      </w:tr>
      <w:tr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Engagement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55.987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65.727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15</w:t>
            </w:r>
          </w:p>
        </w:tc>
      </w:tr>
      <w:tr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ChatExchanges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4.133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5.733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15</w:t>
            </w:r>
          </w:p>
        </w:tc>
      </w:tr>
      <w:tr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ModelLeaks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0.4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0.267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15</w:t>
            </w:r>
          </w:p>
        </w:tc>
      </w:tr>
    </w:tbl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478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_helpscore_b_vs_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7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268"/>
          <w:sz w:val="20"/>
        </w:rPr>
        <w:t>Figura 4. HelpScore B vs C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478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_exchanges_b_vs_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7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268"/>
          <w:sz w:val="20"/>
        </w:rPr>
        <w:t>Figura 5. Intercambios de chat B vs C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478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_leaks_b_vs_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7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268"/>
          <w:sz w:val="20"/>
        </w:rPr>
        <w:t>Figura 6. Leaks del modelo B vs C</w:t>
      </w:r>
    </w:p>
    <w:p/>
    <w:p>
      <w:pPr>
        <w:pStyle w:val="Heading2"/>
      </w:pPr>
      <w:r>
        <w:t>Cómo interpretar este resultado</w:t>
      </w:r>
    </w:p>
    <w:p>
      <w:r>
        <w:rPr>
          <w:b w:val="0"/>
          <w:i w:val="0"/>
          <w:sz w:val="22"/>
        </w:rPr>
        <w:t>Esta sección compara solo B (chat) y C (avatar), porque el agente no existe en A.</w:t>
      </w:r>
    </w:p>
    <w:p>
      <w:r>
        <w:rPr>
          <w:b w:val="0"/>
          <w:i w:val="0"/>
          <w:sz w:val="22"/>
        </w:rPr>
        <w:t>HelpScore (Figura 4): puntuación automática de qué tan útil fue cada intercambio del chat (orientación sin dar la respuesta directa). Más alto = el modelo pareció más pedagógico.</w:t>
      </w:r>
    </w:p>
    <w:p>
      <w:r>
        <w:rPr>
          <w:b w:val="0"/>
          <w:i w:val="0"/>
          <w:sz w:val="22"/>
        </w:rPr>
        <w:t>Intercambios (Figura 5): cuántas idas y vueltas de chat hubo por pregunta, en promedio. Más intercambios pueden indicar más dudas o conversaciones más largas.</w:t>
      </w:r>
    </w:p>
    <w:p>
      <w:r>
        <w:rPr>
          <w:b w:val="0"/>
          <w:i w:val="0"/>
          <w:sz w:val="22"/>
        </w:rPr>
        <w:t>Leaks (Figura 6): veces que el modelo pudo haber filtrado la respuesta correcta. Menos es mejor para la validez del experimento.</w:t>
      </w:r>
    </w:p>
    <w:p>
      <w:r>
        <w:rPr>
          <w:b w:val="0"/>
          <w:i w:val="0"/>
          <w:sz w:val="22"/>
        </w:rPr>
        <w:t>HelpScore medio: B=64.1, C=75.4. C puntúa más alto: los participantes (o el evaluador automático) percibieron mayor ayuda con avatar y voz.</w:t>
      </w:r>
    </w:p>
    <w:p>
      <w:r>
        <w:rPr>
          <w:b w:val="0"/>
          <w:i w:val="0"/>
          <w:sz w:val="22"/>
        </w:rPr>
        <w:t>Compromiso con la tarea (engagement): B=56.0, C=65.7. Indica si las preguntas del estudiante se mantuvieron en el tema del ejercicio.</w:t>
      </w:r>
    </w:p>
    <w:p>
      <w:r>
        <w:rPr>
          <w:b w:val="0"/>
          <w:i w:val="0"/>
          <w:sz w:val="22"/>
        </w:rPr>
        <w:t>Intercambios medios: B=4.1, C=5.7. No hay un «número ideal»; sirve para describir el uso del chat.</w:t>
      </w:r>
    </w:p>
    <w:p>
      <w:r>
        <w:rPr>
          <w:b w:val="0"/>
          <w:i w:val="0"/>
          <w:sz w:val="22"/>
        </w:rPr>
        <w:t>Leaks medios por participante: B=0.40, C=0.27. Cualquier valor mayor que cero merece revisión del prompt del agente.</w:t>
      </w:r>
    </w:p>
    <w:p>
      <w:r>
        <w:rPr>
          <w:b w:val="0"/>
          <w:i w:val="0"/>
          <w:sz w:val="22"/>
        </w:rPr>
        <w:t>Lectura integrada: es posible que C mejore la experiencia (HelpScore, meCUE) mientras la precisión (RQ1) se mantiene parecida a B. Eso no es contradictorio: medir cosas distintas.</w:t>
      </w:r>
    </w:p>
    <w:p>
      <w:pPr>
        <w:pStyle w:val="Heading1"/>
      </w:pPr>
      <w:r>
        <w:t>7. Viabilidad técnica</w:t>
      </w:r>
    </w:p>
    <w:p>
      <w:r>
        <w:rPr>
          <w:b w:val="0"/>
          <w:i w:val="0"/>
          <w:sz w:val="22"/>
        </w:rPr>
        <w:t>Criterios de viabilidad del piloto (Entregable 2):</w:t>
      </w:r>
    </w:p>
    <w:p>
      <w:r>
        <w:rPr>
          <w:b w:val="0"/>
          <w:i w:val="0"/>
          <w:sz w:val="22"/>
        </w:rPr>
        <w:t>Integridad CSV válida: 100.0% (cumple meta 95%).</w:t>
      </w:r>
    </w:p>
    <w:p>
      <w:r>
        <w:rPr>
          <w:b w:val="0"/>
          <w:i w:val="0"/>
          <w:sz w:val="22"/>
        </w:rPr>
        <w:t>Latencia Gemini ≤5 s en ≥90% turnos: cumple.</w:t>
      </w:r>
    </w:p>
    <w:p>
      <w:r>
        <w:rPr>
          <w:b w:val="0"/>
          <w:i w:val="0"/>
          <w:sz w:val="22"/>
        </w:rPr>
        <w:t>TTS condición C ≥85% éxito: cumple.</w:t>
      </w:r>
    </w:p>
    <w:p>
      <w:r>
        <w:rPr>
          <w:b w:val="0"/>
          <w:i w:val="0"/>
          <w:sz w:val="22"/>
        </w:rPr>
        <w:t>Filtraciones modelo (leaks): 5 (3.33 por cada 10 participantes).</w:t>
      </w:r>
    </w:p>
    <w:p>
      <w:r>
        <w:rPr>
          <w:b w:val="0"/>
          <w:i w:val="0"/>
          <w:sz w:val="22"/>
        </w:rPr>
        <w:t>La viabilidad técnica responde: «¿el prototipo funcionó lo bastante bien para confiar en los datos?» No mide aprendizaje; mide calidad del registro y del agente.</w:t>
      </w:r>
    </w:p>
    <w:p>
      <w:r>
        <w:rPr>
          <w:b w:val="0"/>
          <w:i w:val="0"/>
          <w:sz w:val="22"/>
        </w:rPr>
        <w:t>Integridad CSV (100.0 % de filas válidas): proporción de respuestas guardadas sin errores de formato. Meta del piloto: ≥ 95 %.</w:t>
      </w:r>
    </w:p>
    <w:p>
      <w:r>
        <w:rPr>
          <w:b w:val="0"/>
          <w:i w:val="0"/>
          <w:sz w:val="22"/>
        </w:rPr>
        <w:t>Latencia Gemini: tiempo de respuesta del chat. Meta: al menos 90 % de turnos ≤ 5 s. Se cumplió en este piloto.</w:t>
      </w:r>
    </w:p>
    <w:p>
      <w:r>
        <w:rPr>
          <w:b w:val="0"/>
          <w:i w:val="0"/>
          <w:sz w:val="22"/>
        </w:rPr>
        <w:t>TTS (condición C): porcentaje de síntesis de voz exitosa. Meta: ≥ 85 %. Se cumplió.</w:t>
      </w:r>
    </w:p>
    <w:p>
      <w:r>
        <w:rPr>
          <w:b w:val="0"/>
          <w:i w:val="0"/>
          <w:sz w:val="22"/>
        </w:rPr>
        <w:t>Filtraciones del modelo (5 en total): respuestas del agente que pudieron revelar la opción correcta. Menos es mejor; influye en la validez interna.</w:t>
      </w:r>
    </w:p>
    <w:p>
      <w:pPr>
        <w:pStyle w:val="Heading2"/>
      </w:pPr>
      <w:r>
        <w:t>Resumen de viabilidad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ValidRows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270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TotalRows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270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ValidPct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100.0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Passes95PctRule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GeminiPasses90Pct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TtsPasses85Pct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TotalModelLeaks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LeaksPer10Participants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3.33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LeaksPassRule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0</w:t>
            </w:r>
          </w:p>
        </w:tc>
      </w:tr>
    </w:tbl>
    <w:p/>
    <w:p>
      <w:pPr>
        <w:pStyle w:val="Heading1"/>
      </w:pPr>
      <w:r>
        <w:t>8. Discusión</w:t>
      </w:r>
    </w:p>
    <w:p>
      <w:r>
        <w:rPr>
          <w:b w:val="0"/>
          <w:i w:val="0"/>
          <w:sz w:val="22"/>
        </w:rPr>
        <w:t>Síntesis en lenguaje sencillo:</w:t>
      </w:r>
    </w:p>
    <w:p>
      <w:r>
        <w:rPr>
          <w:b w:val="0"/>
          <w:i w:val="0"/>
          <w:sz w:val="22"/>
        </w:rPr>
        <w:t>• Precisión (RQ1): comparar si el agente acompaña mejor que trabajar solo (A) y si importa tener avatar frente a solo texto (diferencia B–C).</w:t>
      </w:r>
    </w:p>
    <w:p>
      <w:r>
        <w:rPr>
          <w:b w:val="0"/>
          <w:i w:val="0"/>
          <w:sz w:val="22"/>
        </w:rPr>
        <w:t>• Confianza (RQ2): mide sensación de seguridad, no aciertos. Puede subir con el agente aunque los aciertos no cambien igual de rápido.</w:t>
      </w:r>
    </w:p>
    <w:p>
      <w:r>
        <w:rPr>
          <w:b w:val="0"/>
          <w:i w:val="0"/>
          <w:sz w:val="22"/>
        </w:rPr>
        <w:t>• Calibración (RQ3): alerta si la confianza «se pasa» o «se queda corta» respecto a los aciertos.</w:t>
      </w:r>
    </w:p>
    <w:p>
      <w:r>
        <w:rPr>
          <w:b w:val="0"/>
          <w:i w:val="0"/>
          <w:sz w:val="22"/>
        </w:rPr>
        <w:t>• Agente (B vs C): describe calidad percibida del chat y riesgos técnicos (leaks, latencia).</w:t>
      </w:r>
    </w:p>
    <w:p>
      <w:r>
        <w:rPr>
          <w:b w:val="0"/>
          <w:i w:val="0"/>
          <w:sz w:val="22"/>
        </w:rPr>
        <w:t>Limitaciones del piloto: muestra reducida (N≈15), seis ítems por condición, diseño within-subjects (orden y fatiga), y dependencia de APIs externas en B/C.</w:t>
      </w:r>
    </w:p>
    <w:p>
      <w:pPr>
        <w:pStyle w:val="Heading1"/>
      </w:pPr>
      <w:r>
        <w:t>Conclusiones</w:t>
      </w:r>
    </w:p>
    <w:p>
      <w:r>
        <w:rPr>
          <w:b w:val="0"/>
          <w:i w:val="0"/>
          <w:sz w:val="22"/>
        </w:rPr>
        <w:t>El piloto permitió registrar y analizar el flujo completo (Unity + Forms + chat/TTS).</w:t>
      </w:r>
    </w:p>
    <w:p>
      <w:r>
        <w:rPr>
          <w:b w:val="0"/>
          <w:i w:val="0"/>
          <w:sz w:val="22"/>
        </w:rPr>
        <w:t>Las figuras muestran medias grupales; las tablas por participante muestran variabilidad individual.</w:t>
      </w:r>
    </w:p>
    <w:p>
      <w:r>
        <w:rPr>
          <w:b w:val="0"/>
          <w:i w:val="0"/>
          <w:sz w:val="22"/>
        </w:rPr>
        <w:t>Los apartados «Cómo interpretar» guían la lectura sin asumir formación en estadística.</w:t>
      </w:r>
    </w:p>
    <w:p>
      <w:r>
        <w:rPr>
          <w:b w:val="0"/>
          <w:i w:val="0"/>
          <w:sz w:val="22"/>
        </w:rPr>
        <w:t>Próximos pasos: ampliar N, entrevistas cualitativas, afinar el prompt del agente para reducir leaks y repetir el análisis con datos de campo.</w:t>
      </w:r>
    </w:p>
    <w:p>
      <w:r>
        <w:br w:type="page"/>
      </w:r>
    </w:p>
    <w:p>
      <w:pPr>
        <w:pStyle w:val="Heading1"/>
      </w:pPr>
      <w:r>
        <w:t>Anexo — Inferencia estadística</w:t>
      </w:r>
    </w:p>
    <w:p>
      <w:r>
        <w:rPr>
          <w:b w:val="0"/>
          <w:i w:val="0"/>
          <w:sz w:val="22"/>
        </w:rPr>
        <w:t>Registro de pruebas Friedman y Wilcoxon aplicadas al generar este informe.</w:t>
      </w:r>
    </w:p>
    <w:p>
      <w:pPr>
        <w:ind w:left="283"/>
      </w:pPr>
      <w:r>
        <w:rPr>
          <w:rFonts w:ascii="Consolas" w:hAnsi="Consolas"/>
          <w:sz w:val="18"/>
        </w:rPr>
        <w:br/>
        <w:t>[RQ1]</w:t>
      </w:r>
    </w:p>
    <w:p>
      <w:pPr>
        <w:ind w:left="283"/>
      </w:pPr>
      <w:r>
        <w:rPr>
          <w:rFonts w:ascii="Consolas" w:hAnsi="Consolas"/>
          <w:sz w:val="18"/>
        </w:rPr>
        <w:br/>
        <w:t>Inferencia (piloto):</w:t>
      </w:r>
    </w:p>
    <w:p>
      <w:pPr>
        <w:ind w:left="283"/>
      </w:pPr>
      <w:r>
        <w:rPr>
          <w:rFonts w:ascii="Consolas" w:hAnsi="Consolas"/>
          <w:sz w:val="18"/>
        </w:rPr>
        <w:t xml:space="preserve">  Precisión | Friedman chi2=13.9615, p=0.0009 (n=15)</w:t>
      </w:r>
    </w:p>
    <w:p>
      <w:pPr>
        <w:ind w:left="283"/>
      </w:pPr>
      <w:r>
        <w:rPr>
          <w:rFonts w:ascii="Consolas" w:hAnsi="Consolas"/>
          <w:sz w:val="18"/>
        </w:rPr>
        <w:t xml:space="preserve">  Post hoc Wilcoxon pareado (p ajustada Bonferroni, 3 comparaciones):</w:t>
      </w:r>
    </w:p>
    <w:p>
      <w:pPr>
        <w:ind w:left="283"/>
      </w:pPr>
      <w:r>
        <w:rPr>
          <w:rFonts w:ascii="Consolas" w:hAnsi="Consolas"/>
          <w:sz w:val="18"/>
        </w:rPr>
        <w:t xml:space="preserve">    A vs B: W=0.0000, p=0.0022, p_adj=0.0065 *</w:t>
      </w:r>
    </w:p>
    <w:p>
      <w:pPr>
        <w:ind w:left="283"/>
      </w:pPr>
      <w:r>
        <w:rPr>
          <w:rFonts w:ascii="Consolas" w:hAnsi="Consolas"/>
          <w:sz w:val="18"/>
        </w:rPr>
        <w:t xml:space="preserve">    A vs C: W=15.5000, p=0.0199, p_adj=0.0598</w:t>
      </w:r>
    </w:p>
    <w:p>
      <w:pPr>
        <w:ind w:left="283"/>
      </w:pPr>
      <w:r>
        <w:rPr>
          <w:rFonts w:ascii="Consolas" w:hAnsi="Consolas"/>
          <w:sz w:val="18"/>
        </w:rPr>
        <w:t xml:space="preserve">    B vs C: W=29.0000, p=0.7204, p_adj=1.0000</w:t>
      </w:r>
    </w:p>
    <w:p>
      <w:pPr>
        <w:ind w:left="283"/>
      </w:pPr>
      <w:r>
        <w:rPr>
          <w:rFonts w:ascii="Consolas" w:hAnsi="Consolas"/>
          <w:sz w:val="18"/>
        </w:rPr>
        <w:br/>
        <w:t>[RQ2 Unity]</w:t>
      </w:r>
    </w:p>
    <w:p>
      <w:pPr>
        <w:ind w:left="283"/>
      </w:pPr>
      <w:r>
        <w:rPr>
          <w:rFonts w:ascii="Consolas" w:hAnsi="Consolas"/>
          <w:sz w:val="18"/>
        </w:rPr>
        <w:br/>
        <w:t>Inferencia (piloto):</w:t>
      </w:r>
    </w:p>
    <w:p>
      <w:pPr>
        <w:ind w:left="283"/>
      </w:pPr>
      <w:r>
        <w:rPr>
          <w:rFonts w:ascii="Consolas" w:hAnsi="Consolas"/>
          <w:sz w:val="18"/>
        </w:rPr>
        <w:t xml:space="preserve">  Confianza Unity | Friedman chi2=26.1333, p=0.0000 (n=15)</w:t>
      </w:r>
    </w:p>
    <w:p>
      <w:pPr>
        <w:ind w:left="283"/>
      </w:pPr>
      <w:r>
        <w:rPr>
          <w:rFonts w:ascii="Consolas" w:hAnsi="Consolas"/>
          <w:sz w:val="18"/>
        </w:rPr>
        <w:t xml:space="preserve">  Post hoc Wilcoxon pareado (p ajustada Bonferroni, 3 comparaciones):</w:t>
      </w:r>
    </w:p>
    <w:p>
      <w:pPr>
        <w:ind w:left="283"/>
      </w:pPr>
      <w:r>
        <w:rPr>
          <w:rFonts w:ascii="Consolas" w:hAnsi="Consolas"/>
          <w:sz w:val="18"/>
        </w:rPr>
        <w:t xml:space="preserve">    A vs B: W=1.0000, p=0.0008, p_adj=0.0024 *</w:t>
      </w:r>
    </w:p>
    <w:p>
      <w:pPr>
        <w:ind w:left="283"/>
      </w:pPr>
      <w:r>
        <w:rPr>
          <w:rFonts w:ascii="Consolas" w:hAnsi="Consolas"/>
          <w:sz w:val="18"/>
        </w:rPr>
        <w:t xml:space="preserve">    A vs C: W=0.0000, p=0.0006, p_adj=0.0019 *</w:t>
      </w:r>
    </w:p>
    <w:p>
      <w:pPr>
        <w:ind w:left="283"/>
      </w:pPr>
      <w:r>
        <w:rPr>
          <w:rFonts w:ascii="Consolas" w:hAnsi="Consolas"/>
          <w:sz w:val="18"/>
        </w:rPr>
        <w:t xml:space="preserve">    B vs C: W=3.0000, p=0.0012, p_adj=0.0036 *</w:t>
      </w:r>
    </w:p>
    <w:p>
      <w:pPr>
        <w:ind w:left="283"/>
      </w:pPr>
      <w:r>
        <w:rPr>
          <w:rFonts w:ascii="Consolas" w:hAnsi="Consolas"/>
          <w:sz w:val="18"/>
        </w:rPr>
        <w:br/>
        <w:t>[RQ2 Forms RAW-TLX]</w:t>
      </w:r>
    </w:p>
    <w:p>
      <w:pPr>
        <w:ind w:left="283"/>
      </w:pPr>
      <w:r>
        <w:rPr>
          <w:rFonts w:ascii="Consolas" w:hAnsi="Consolas"/>
          <w:sz w:val="18"/>
        </w:rPr>
        <w:br/>
        <w:t>Inferencia (piloto):</w:t>
      </w:r>
    </w:p>
    <w:p>
      <w:pPr>
        <w:ind w:left="283"/>
      </w:pPr>
      <w:r>
        <w:rPr>
          <w:rFonts w:ascii="Consolas" w:hAnsi="Consolas"/>
          <w:sz w:val="18"/>
        </w:rPr>
        <w:t xml:space="preserve">  RAW-TLX | Friedman chi2=3.8462, p=0.1462 (n=15)</w:t>
      </w:r>
    </w:p>
    <w:p>
      <w:pPr>
        <w:ind w:left="283"/>
      </w:pPr>
      <w:r>
        <w:rPr>
          <w:rFonts w:ascii="Consolas" w:hAnsi="Consolas"/>
          <w:sz w:val="18"/>
        </w:rPr>
        <w:t xml:space="preserve">  Post hoc Wilcoxon pareado (p ajustada Bonferroni, 3 comparaciones):</w:t>
      </w:r>
    </w:p>
    <w:p>
      <w:pPr>
        <w:ind w:left="283"/>
      </w:pPr>
      <w:r>
        <w:rPr>
          <w:rFonts w:ascii="Consolas" w:hAnsi="Consolas"/>
          <w:sz w:val="18"/>
        </w:rPr>
        <w:t xml:space="preserve">    A vs B: W=0.0000, p=nan, p_adj=1.0000</w:t>
      </w:r>
    </w:p>
    <w:p>
      <w:pPr>
        <w:ind w:left="283"/>
      </w:pPr>
      <w:r>
        <w:rPr>
          <w:rFonts w:ascii="Consolas" w:hAnsi="Consolas"/>
          <w:sz w:val="18"/>
        </w:rPr>
        <w:t xml:space="preserve">    A vs C: W=18.5000, p=0.0572, p_adj=0.1715</w:t>
      </w:r>
    </w:p>
    <w:p>
      <w:pPr>
        <w:ind w:left="283"/>
      </w:pPr>
      <w:r>
        <w:rPr>
          <w:rFonts w:ascii="Consolas" w:hAnsi="Consolas"/>
          <w:sz w:val="18"/>
        </w:rPr>
        <w:t xml:space="preserve">    B vs C: W=18.5000, p=0.0572, p_adj=0.1715</w:t>
      </w:r>
    </w:p>
    <w:p>
      <w:pPr>
        <w:ind w:left="283"/>
      </w:pPr>
      <w:r>
        <w:rPr>
          <w:rFonts w:ascii="Consolas" w:hAnsi="Consolas"/>
          <w:sz w:val="18"/>
        </w:rPr>
        <w:br/>
        <w:t>[RQ3]</w:t>
      </w:r>
    </w:p>
    <w:p>
      <w:pPr>
        <w:ind w:left="283"/>
      </w:pPr>
      <w:r>
        <w:rPr>
          <w:rFonts w:ascii="Consolas" w:hAnsi="Consolas"/>
          <w:sz w:val="18"/>
        </w:rPr>
        <w:br/>
        <w:t>Inferencia (piloto):</w:t>
      </w:r>
    </w:p>
    <w:p>
      <w:pPr>
        <w:ind w:left="283"/>
      </w:pPr>
      <w:r>
        <w:rPr>
          <w:rFonts w:ascii="Consolas" w:hAnsi="Consolas"/>
          <w:sz w:val="18"/>
        </w:rPr>
        <w:t xml:space="preserve">  Brecha calibración | Friedman chi2=3.9661, p=0.1376 (n=15)</w:t>
      </w:r>
    </w:p>
    <w:p>
      <w:pPr>
        <w:ind w:left="283"/>
      </w:pPr>
      <w:r>
        <w:rPr>
          <w:rFonts w:ascii="Consolas" w:hAnsi="Consolas"/>
          <w:sz w:val="18"/>
        </w:rPr>
        <w:t xml:space="preserve">  Post hoc Wilcoxon pareado (p ajustada Bonferroni, 3 comparaciones):</w:t>
      </w:r>
    </w:p>
    <w:p>
      <w:pPr>
        <w:ind w:left="283"/>
      </w:pPr>
      <w:r>
        <w:rPr>
          <w:rFonts w:ascii="Consolas" w:hAnsi="Consolas"/>
          <w:sz w:val="18"/>
        </w:rPr>
        <w:t xml:space="preserve">    A vs B: W=49.0000, p=0.8257, p_adj=1.0000</w:t>
      </w:r>
    </w:p>
    <w:p>
      <w:pPr>
        <w:ind w:left="283"/>
      </w:pPr>
      <w:r>
        <w:rPr>
          <w:rFonts w:ascii="Consolas" w:hAnsi="Consolas"/>
          <w:sz w:val="18"/>
        </w:rPr>
        <w:t xml:space="preserve">    A vs C: W=29.0000, p=0.0782, p_adj=0.2347</w:t>
      </w:r>
    </w:p>
    <w:p>
      <w:pPr>
        <w:ind w:left="283"/>
      </w:pPr>
      <w:r>
        <w:rPr>
          <w:rFonts w:ascii="Consolas" w:hAnsi="Consolas"/>
          <w:sz w:val="18"/>
        </w:rPr>
        <w:t xml:space="preserve">    B vs C: W=23.5000, p=0.0381, p_adj=0.1144</w:t>
      </w:r>
    </w:p>
    <w:p>
      <w:pPr>
        <w:ind w:left="283"/>
      </w:pPr>
      <w:r>
        <w:rPr>
          <w:rFonts w:ascii="Consolas" w:hAnsi="Consolas"/>
          <w:sz w:val="18"/>
        </w:rPr>
        <w:br/>
        <w:t>[Hipótesis]</w:t>
      </w:r>
    </w:p>
    <w:p>
      <w:pPr>
        <w:ind w:left="283"/>
      </w:pPr>
      <w:r>
        <w:rPr>
          <w:rFonts w:ascii="Consolas" w:hAnsi="Consolas"/>
          <w:sz w:val="18"/>
        </w:rPr>
        <w:br/>
        <w:t>=== Hipotesis exploratorias (medias grupales) ===</w:t>
        <w:br/>
      </w:r>
    </w:p>
    <w:p>
      <w:pPr>
        <w:ind w:left="283"/>
      </w:pPr>
      <w:r>
        <w:rPr>
          <w:rFonts w:ascii="Consolas" w:hAnsi="Consolas"/>
          <w:sz w:val="18"/>
        </w:rPr>
        <w:t>H1 (precision C ~ B &gt; A): A=48.9% | B=78.9% | C=75.6%</w:t>
      </w:r>
    </w:p>
    <w:p>
      <w:pPr>
        <w:ind w:left="283"/>
      </w:pPr>
      <w:r>
        <w:rPr>
          <w:rFonts w:ascii="Consolas" w:hAnsi="Consolas"/>
          <w:sz w:val="18"/>
        </w:rPr>
        <w:t xml:space="preserve">  Orden observado (mayor a menor): B &gt; C &gt; A</w:t>
      </w:r>
    </w:p>
    <w:p>
      <w:pPr>
        <w:ind w:left="283"/>
      </w:pPr>
      <w:r>
        <w:rPr>
          <w:rFonts w:ascii="Consolas" w:hAnsi="Consolas"/>
          <w:sz w:val="18"/>
        </w:rPr>
        <w:br/>
        <w:t>H2 (confianza C &gt; B &gt; A): A=3.14 | B=4.91 | C=5.84</w:t>
      </w:r>
    </w:p>
    <w:p>
      <w:pPr>
        <w:ind w:left="283"/>
      </w:pPr>
      <w:r>
        <w:rPr>
          <w:rFonts w:ascii="Consolas" w:hAnsi="Consolas"/>
          <w:sz w:val="18"/>
        </w:rPr>
        <w:t xml:space="preserve">  Orden observado (mayor a menor): C &gt; B &gt; A</w:t>
      </w:r>
    </w:p>
    <w:p>
      <w:pPr>
        <w:ind w:left="283"/>
      </w:pPr>
      <w:r>
        <w:rPr>
          <w:rFonts w:ascii="Consolas" w:hAnsi="Consolas"/>
          <w:sz w:val="18"/>
        </w:rPr>
        <w:br/>
        <w:t>H3 (mayor brecha en C): A=-0.131 | B=-0.137 | C=0.052</w:t>
      </w:r>
    </w:p>
    <w:p>
      <w:pPr>
        <w:ind w:left="283"/>
      </w:pPr>
      <w:r>
        <w:rPr>
          <w:rFonts w:ascii="Consolas" w:hAnsi="Consolas"/>
          <w:sz w:val="18"/>
        </w:rPr>
        <w:t xml:space="preserve">  Orden observado (mayor brecha primero): C &gt; A &gt; B</w:t>
      </w:r>
    </w:p>
    <w:p>
      <w:pPr>
        <w:ind w:left="283"/>
      </w:pPr>
      <w:r>
        <w:rPr>
          <w:rFonts w:ascii="Consolas" w:hAnsi="Consolas"/>
          <w:sz w:val="18"/>
        </w:rPr>
        <w:t xml:space="preserve">  Brecha C vs A: consistente con H3</w:t>
      </w:r>
    </w:p>
    <w:p>
      <w:pPr>
        <w:ind w:left="283"/>
      </w:pPr>
      <w:r>
        <w:rPr>
          <w:rFonts w:ascii="Consolas" w:hAnsi="Consolas"/>
          <w:sz w:val="18"/>
        </w:rPr>
        <w:br/>
        <w:t>[Agente HelpScore B vs C]</w:t>
      </w:r>
    </w:p>
    <w:p>
      <w:pPr>
        <w:ind w:left="283"/>
      </w:pPr>
      <w:r>
        <w:rPr>
          <w:rFonts w:ascii="Consolas" w:hAnsi="Consolas"/>
          <w:sz w:val="18"/>
        </w:rPr>
        <w:t xml:space="preserve">  Wilcoxon HelpScore | Wilcoxon B vs C: W=0.0000, p=0.0006 *</w:t>
      </w:r>
    </w:p>
    <w:sectPr w:rsidR="00FC693F" w:rsidRPr="0006063C" w:rsidSect="00034616">
      <w:footerReference w:type="default" r:id="rId9"/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68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125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