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865"/>
          <w:sz w:val="32"/>
        </w:rPr>
        <w:t>Efecto de la visibilidad de un agente virtual en el desempeño y la confianza del usuario en tareas de decisión basadas en reglas</w:t>
      </w:r>
    </w:p>
    <w:p>
      <w:pPr>
        <w:jc w:val="center"/>
      </w:pPr>
      <w:r>
        <w:rPr>
          <w:b/>
          <w:color w:val="212529"/>
          <w:sz w:val="24"/>
        </w:rPr>
        <w:t>Ney Fred Jiménez Campos</w:t>
      </w:r>
    </w:p>
    <w:p>
      <w:pPr>
        <w:jc w:val="center"/>
      </w:pPr>
      <w:r>
        <w:rPr>
          <w:b w:val="0"/>
          <w:color w:val="5A6268"/>
          <w:sz w:val="20"/>
        </w:rPr>
        <w:t>Universidad de Costa Rica, Posgrado en Computación e Informática, PF-3311 — Agentes Virtuales Inteligentes</w:t>
      </w:r>
    </w:p>
    <w:p/>
    <w:p>
      <w:pPr>
        <w:pStyle w:val="Heading2"/>
      </w:pPr>
      <w:r>
        <w:t>Resumen</w:t>
      </w:r>
    </w:p>
    <w:p>
      <w:r>
        <w:rPr>
          <w:b w:val="0"/>
          <w:i w:val="0"/>
          <w:sz w:val="22"/>
        </w:rPr>
        <w:t>Se evaluó un prototipo Unity con tres condiciones within-subjects: A (sin agente), B (agente conversacional en texto) y C (mismo agente con avatar 3D y voz). Cada participante resolvió seis ítems de decisión basados en reglas por condición, reportando confianza inmediata (escala 1–7) tras cada respuesta.</w:t>
      </w:r>
    </w:p>
    <w:p>
      <w:r>
        <w:rPr>
          <w:b w:val="0"/>
          <w:i w:val="0"/>
          <w:sz w:val="22"/>
        </w:rPr>
        <w:t>En este piloto participaron 3 sesiones canónicas (3 con bloques A, B y C completos). La precisión media fue A=66.67%, B=77.78%, C=83.33%. La confianza media (Unity) fue A=5.0, B=5.0, C=5.0. La brecha de calibración (confianza normalizada menos precisión del bloque) fue A=0.0, B=-0.1111, C=-0.1667. Se discuten implicaciones para el diseño de agentes virtuales pedagógicos y las limitaciones de una muestra exploratoria.</w:t>
      </w:r>
    </w:p>
    <w:p>
      <w:r>
        <w:rPr>
          <w:b/>
          <w:sz w:val="22"/>
        </w:rPr>
        <w:t>Palabras clave:</w:t>
      </w:r>
      <w:r>
        <w:rPr>
          <w:b w:val="0"/>
          <w:i w:val="0"/>
          <w:sz w:val="22"/>
        </w:rPr>
        <w:t xml:space="preserve"> agente virtual; confianza calibrada; diseño within-subjects; LLM; precisión; usabilidad</w:t>
      </w:r>
    </w:p>
    <w:p>
      <w:pPr>
        <w:sectPr>
          <w:footerReference w:type="default" r:id="rId9"/>
          <w:pgSz w:w="12240" w:h="15840"/>
          <w:pgMar w:top="1417" w:right="1417" w:bottom="1417" w:left="1587" w:header="720" w:footer="720" w:gutter="0"/>
          <w:cols w:num="1"/>
          <w:docGrid w:linePitch="360"/>
        </w:sectPr>
      </w:pPr>
    </w:p>
    <w:p>
      <w:pPr>
        <w:pStyle w:val="Heading1"/>
      </w:pPr>
      <w:r>
        <w:t>1. Introducción</w:t>
      </w:r>
    </w:p>
    <w:p>
      <w:r>
        <w:rPr>
          <w:b w:val="0"/>
          <w:i w:val="0"/>
          <w:sz w:val="22"/>
        </w:rPr>
        <w:t>Los agentes conversacionales basados en modelos de lenguaje amplio (LLM) se integran cada vez más en interfaces de apoyo a la decisión. Una pregunta abierta es si la presencia visible del agente —avatar y voz— modifica el desempeño objetivo y la confianza subjetiva del usuario frente a la misma asistencia solo textual o sin agente.</w:t>
      </w:r>
    </w:p>
    <w:p>
      <w:r>
        <w:rPr>
          <w:b w:val="0"/>
          <w:i w:val="0"/>
          <w:sz w:val="22"/>
        </w:rPr>
        <w:t>Este trabajo reporta un piloto within-subjects en el que cada participante experimenta tres condiciones: sin agente (A), chat con LLM (B) y chat con avatar animado y síntesis de voz (C). Las preguntas de investigación son: (RQ1) ¿difieren los aciertos entre condiciones?; (RQ2) ¿difieren los niveles de confianza?; y (RQ3) ¿cómo varía la calibración entre confianza y precisión?</w:t>
      </w:r>
    </w:p>
    <w:p>
      <w:r>
        <w:rPr>
          <w:b w:val="0"/>
          <w:i w:val="0"/>
          <w:sz w:val="22"/>
        </w:rPr>
        <w:t>Las hipótesis exploratorias plantean precisión C ≈ B &gt; A (H1), confianza C &gt; B &gt; A (H2) y mayor sobreconfianza en C (H3).</w:t>
      </w:r>
    </w:p>
    <w:p>
      <w:pPr>
        <w:pStyle w:val="Heading1"/>
      </w:pPr>
      <w:r>
        <w:t>2. Método</w:t>
      </w:r>
    </w:p>
    <w:p>
      <w:r>
        <w:rPr>
          <w:b/>
          <w:sz w:val="22"/>
        </w:rPr>
        <w:t>Participantes.</w:t>
      </w:r>
      <w:r>
        <w:rPr>
          <w:b w:val="0"/>
          <w:i w:val="0"/>
          <w:sz w:val="22"/>
        </w:rPr>
        <w:t xml:space="preserve"> Adultos mayores de 18 años reclutados de forma abierta. Se analizaron 3 sesiones canónicas; 3 completaron los tres bloques (6+6+6 ítems).</w:t>
      </w:r>
    </w:p>
    <w:p>
      <w:r>
        <w:rPr>
          <w:b/>
          <w:sz w:val="22"/>
        </w:rPr>
        <w:t>Diseño.</w:t>
      </w:r>
      <w:r>
        <w:rPr>
          <w:b w:val="0"/>
          <w:i w:val="0"/>
          <w:sz w:val="22"/>
        </w:rPr>
        <w:t xml:space="preserve"> Factor within-subjects con tres niveles (A, B, C). Orden de condiciones contrabalanceado según código de participante. Materiales: 18 ítems con reglas y opciones múltiples; confianza 1–7 tras cada respuesta; cuestionarios RAW-TLX y meCUE 2.0 tras cada bloque.</w:t>
      </w:r>
    </w:p>
    <w:p>
      <w:r>
        <w:rPr>
          <w:b/>
          <w:sz w:val="22"/>
        </w:rPr>
        <w:t>Procedimiento.</w:t>
      </w:r>
      <w:r>
        <w:rPr>
          <w:b w:val="0"/>
          <w:i w:val="0"/>
          <w:sz w:val="22"/>
        </w:rPr>
        <w:t xml:space="preserve"> Sesión en máquina virtual Windows con build Unity standalone. En B y C el participante podía consultar al agente (Gemini 2.5 Flash) con un system prompt restrictivo que prohíbe revelar la respuesta correcta. En C las respuestas del agente se sintetizan con Azure Speech y lip-sync sobre avatar TTBoyB.</w:t>
      </w:r>
    </w:p>
    <w:p>
      <w:r>
        <w:rPr>
          <w:b/>
          <w:sz w:val="22"/>
        </w:rPr>
        <w:t>Métricas.</w:t>
      </w:r>
      <w:r>
        <w:rPr>
          <w:b w:val="0"/>
          <w:i w:val="0"/>
          <w:sz w:val="22"/>
        </w:rPr>
        <w:t xml:space="preserve"> Precisión (% aciertos por bloque), confianza media por ítem, brecha de calibración ((confianza−1)/6 − precisión), carga RAW-TLX, métricas de chat (HelpScore, intercambios, filtraciones del modelo) y indicadores de viabilidad (latencia Gemini, éxito TTS, integridad CSV).</w:t>
      </w:r>
    </w:p>
    <w:p>
      <w:r>
        <w:rPr>
          <w:b/>
          <w:sz w:val="22"/>
        </w:rPr>
        <w:t>Análisis.</w:t>
      </w:r>
      <w:r>
        <w:rPr>
          <w:b w:val="0"/>
          <w:i w:val="0"/>
          <w:sz w:val="22"/>
        </w:rPr>
        <w:t xml:space="preserve"> Estadística descriptiva por condición. Con n≥3 participantes completos se aplican prueba de Friedman y Wilcoxon pareado post hoc con corrección Bonferroni (α=0,05). Los resultados se interpretan como exploratorios.</w:t>
      </w:r>
    </w:p>
    <w:p>
      <w:pPr>
        <w:pStyle w:val="Heading1"/>
      </w:pPr>
      <w:r>
        <w:t>3. Resultados</w:t>
      </w:r>
    </w:p>
    <w:p>
      <w:r>
        <w:rPr>
          <w:b w:val="0"/>
          <w:i w:val="0"/>
          <w:sz w:val="22"/>
        </w:rPr>
        <w:t>La muestra analizada comprendió 3 participantes canónicos (3 con datos completos A–C).</w:t>
      </w:r>
    </w:p>
    <w:p>
      <w:r>
        <w:rPr>
          <w:b w:val="0"/>
          <w:i w:val="0"/>
          <w:sz w:val="22"/>
        </w:rPr>
        <w:t>La Tabla 1 resume la precisión (% aciertos) por condición.</w:t>
      </w:r>
    </w:p>
    <w:p>
      <w:r>
        <w:rPr>
          <w:b w:val="0"/>
          <w:i w:val="0"/>
          <w:sz w:val="22"/>
        </w:rPr>
        <w:t>Condición A: media 66.67% (n=3).</w:t>
      </w:r>
    </w:p>
    <w:p>
      <w:r>
        <w:rPr>
          <w:b w:val="0"/>
          <w:i w:val="0"/>
          <w:sz w:val="22"/>
        </w:rPr>
        <w:t>Condición B: media 77.78% (n=3).</w:t>
      </w:r>
    </w:p>
    <w:p>
      <w:r>
        <w:rPr>
          <w:b w:val="0"/>
          <w:i w:val="0"/>
          <w:sz w:val="22"/>
        </w:rPr>
        <w:t>Condición C: media 83.33% (n=3).</w:t>
      </w:r>
    </w:p>
    <w:p>
      <w:r>
        <w:rPr>
          <w:b w:val="0"/>
          <w:i w:val="0"/>
          <w:sz w:val="22"/>
        </w:rPr>
        <w:t>La confianza media (escala 1–7, Unity) por condición se muestra en la Tabla 2.</w:t>
      </w:r>
    </w:p>
    <w:p>
      <w:r>
        <w:rPr>
          <w:b w:val="0"/>
          <w:i w:val="0"/>
          <w:sz w:val="22"/>
        </w:rPr>
        <w:t>Condición A: media 5.0 (n=3).</w:t>
      </w:r>
    </w:p>
    <w:p>
      <w:r>
        <w:rPr>
          <w:b w:val="0"/>
          <w:i w:val="0"/>
          <w:sz w:val="22"/>
        </w:rPr>
        <w:t>Condición B: media 5.0 (n=3).</w:t>
      </w:r>
    </w:p>
    <w:p>
      <w:r>
        <w:rPr>
          <w:b w:val="0"/>
          <w:i w:val="0"/>
          <w:sz w:val="22"/>
        </w:rPr>
        <w:t>Condición C: media 5.0 (n=3).</w:t>
      </w:r>
    </w:p>
    <w:p>
      <w:r>
        <w:rPr>
          <w:b w:val="0"/>
          <w:i w:val="0"/>
          <w:sz w:val="22"/>
        </w:rPr>
        <w:t>La brecha de calibración se operacionalizó como confianza normalizada ((C−1)/6) menos la precisión del bloque.</w:t>
      </w:r>
    </w:p>
    <w:p>
      <w:r>
        <w:rPr>
          <w:b w:val="0"/>
          <w:i w:val="0"/>
          <w:sz w:val="22"/>
        </w:rPr>
        <w:t>Condición A: brecha media 0.0 (n=3).</w:t>
      </w:r>
    </w:p>
    <w:p>
      <w:r>
        <w:rPr>
          <w:b w:val="0"/>
          <w:i w:val="0"/>
          <w:sz w:val="22"/>
        </w:rPr>
        <w:t>Condición B: brecha media -0.1111 (n=3).</w:t>
      </w:r>
    </w:p>
    <w:p>
      <w:r>
        <w:rPr>
          <w:b w:val="0"/>
          <w:i w:val="0"/>
          <w:sz w:val="22"/>
        </w:rPr>
        <w:t>Condición C: brecha media -0.1667 (n=3).</w:t>
      </w:r>
    </w:p>
    <w:p>
      <w:r>
        <w:rPr>
          <w:b w:val="0"/>
          <w:i w:val="0"/>
          <w:sz w:val="22"/>
        </w:rPr>
        <w:t>Las hipótesis exploratorias H1–H3 se evaluaron a partir de las medias grupales observadas.</w:t>
      </w:r>
    </w:p>
    <w:p>
      <w:r>
        <w:rPr>
          <w:b w:val="0"/>
          <w:i w:val="0"/>
          <w:sz w:val="22"/>
        </w:rPr>
        <w:t>Ver anexo de inferencia para pruebas Friedman y Wilcoxon post hoc cuando n≥3.</w:t>
      </w:r>
    </w:p>
    <w:p>
      <w:r>
        <w:rPr>
          <w:b w:val="0"/>
          <w:i w:val="0"/>
          <w:sz w:val="22"/>
        </w:rPr>
        <w:t>En condiciones B y C se compararon métricas del agente (Tabla 5).</w:t>
      </w:r>
    </w:p>
    <w:p>
      <w:r>
        <w:rPr>
          <w:b w:val="0"/>
          <w:i w:val="0"/>
          <w:sz w:val="22"/>
        </w:rPr>
        <w:t>Comparación exploratoria del agente entre condiciones B (texto) y C (avatar + voz):</w:t>
      </w:r>
    </w:p>
    <w:p>
      <w:r>
        <w:rPr>
          <w:b w:val="0"/>
          <w:i w:val="0"/>
          <w:sz w:val="22"/>
        </w:rPr>
        <w:t>HelpScore: media B=67.5 (n=1), media C= (n=0).</w:t>
      </w:r>
    </w:p>
    <w:p>
      <w:r>
        <w:rPr>
          <w:b w:val="0"/>
          <w:i w:val="0"/>
          <w:sz w:val="22"/>
        </w:rPr>
        <w:t>Engagement: media B=15.0 (n=1), media C= (n=0).</w:t>
      </w:r>
    </w:p>
    <w:p>
      <w:r>
        <w:rPr>
          <w:b w:val="0"/>
          <w:i w:val="0"/>
          <w:sz w:val="22"/>
        </w:rPr>
        <w:t>ChatExchanges: media B=1.0 (n=1), media C= (n=0).</w:t>
      </w:r>
    </w:p>
    <w:p>
      <w:r>
        <w:rPr>
          <w:b w:val="0"/>
          <w:i w:val="0"/>
          <w:sz w:val="22"/>
        </w:rPr>
        <w:t>ModelLeaks: media B=0.0 (n=1), media C= (n=0).</w:t>
      </w:r>
    </w:p>
    <w:p>
      <w:r>
        <w:rPr>
          <w:b w:val="0"/>
          <w:i w:val="0"/>
          <w:sz w:val="22"/>
        </w:rPr>
        <w:t>Los criterios de viabilidad técnica del piloto se reportan en la Tabla 6.</w:t>
      </w:r>
    </w:p>
    <w:p>
      <w:r>
        <w:rPr>
          <w:b w:val="0"/>
          <w:i w:val="0"/>
          <w:sz w:val="22"/>
        </w:rPr>
        <w:t>Inferencia no paramétrica (piloto):</w:t>
      </w:r>
    </w:p>
    <w:p>
      <w:r>
        <w:rPr>
          <w:b w:val="0"/>
          <w:i w:val="0"/>
          <w:sz w:val="22"/>
        </w:rPr>
        <w:br/>
        <w:t>[RQ1]</w:t>
      </w:r>
    </w:p>
    <w:p>
      <w:r>
        <w:rPr>
          <w:b w:val="0"/>
          <w:i w:val="0"/>
          <w:sz w:val="22"/>
        </w:rPr>
        <w:br/>
        <w:t>Inferencia (piloto):</w:t>
      </w:r>
    </w:p>
    <w:p>
      <w:r>
        <w:rPr>
          <w:b w:val="0"/>
          <w:i w:val="0"/>
          <w:sz w:val="22"/>
        </w:rPr>
        <w:t xml:space="preserve">  Precisión | Friedman chi2=3.7143, p=0.1561 (n=3)</w:t>
      </w:r>
    </w:p>
    <w:p>
      <w:r>
        <w:rPr>
          <w:b w:val="0"/>
          <w:i w:val="0"/>
          <w:sz w:val="22"/>
        </w:rPr>
        <w:t xml:space="preserve">  Post hoc Wilcoxon pareado (p ajustada Bonferroni, 3 comparaciones):</w:t>
      </w:r>
    </w:p>
    <w:p>
      <w:r>
        <w:rPr>
          <w:b w:val="0"/>
          <w:i w:val="0"/>
          <w:sz w:val="22"/>
        </w:rPr>
        <w:t xml:space="preserve">    A vs B: W=0.0000, p=0.5000, p_adj=1.0000</w:t>
      </w:r>
    </w:p>
    <w:p>
      <w:r>
        <w:rPr>
          <w:b w:val="0"/>
          <w:i w:val="0"/>
          <w:sz w:val="22"/>
        </w:rPr>
        <w:t xml:space="preserve">    A vs C: W=0.0000, p=0.5000, p_adj=1.0000</w:t>
      </w:r>
    </w:p>
    <w:p>
      <w:r>
        <w:rPr>
          <w:b w:val="0"/>
          <w:i w:val="0"/>
          <w:sz w:val="22"/>
        </w:rPr>
        <w:t xml:space="preserve">    B vs C: W=0.0000, p=1.0000, p_adj=1.0000</w:t>
      </w:r>
    </w:p>
    <w:p>
      <w:r>
        <w:rPr>
          <w:b w:val="0"/>
          <w:i w:val="0"/>
          <w:sz w:val="22"/>
        </w:rPr>
        <w:br/>
        <w:t>[RQ2 Unity]</w:t>
      </w:r>
    </w:p>
    <w:p>
      <w:r>
        <w:rPr>
          <w:b w:val="0"/>
          <w:i w:val="0"/>
          <w:sz w:val="22"/>
        </w:rPr>
        <w:br/>
        <w:t>Inferencia (piloto):</w:t>
      </w:r>
    </w:p>
    <w:p>
      <w:r>
        <w:rPr>
          <w:b w:val="0"/>
          <w:i w:val="0"/>
          <w:sz w:val="22"/>
        </w:rPr>
        <w:t xml:space="preserve">  Confianza Unity | Friedman chi2=nan, p=nan (n=3)</w:t>
      </w:r>
    </w:p>
    <w:p>
      <w:r>
        <w:rPr>
          <w:b w:val="0"/>
          <w:i w:val="0"/>
          <w:sz w:val="22"/>
        </w:rPr>
        <w:t xml:space="preserve">  Post hoc Wilcoxon pareado (p ajustada Bonferroni, 3 comparaciones):</w:t>
      </w:r>
    </w:p>
    <w:p>
      <w:r>
        <w:rPr>
          <w:b w:val="0"/>
          <w:i w:val="0"/>
          <w:sz w:val="22"/>
        </w:rPr>
        <w:t xml:space="preserve">    A vs B: W=0.0000, p=1.0000, p_adj=1.0000</w:t>
      </w:r>
    </w:p>
    <w:p>
      <w:r>
        <w:rPr>
          <w:b w:val="0"/>
          <w:i w:val="0"/>
          <w:sz w:val="22"/>
        </w:rPr>
        <w:t xml:space="preserve">    A vs C: W=0.0000, p=1.0000, p_adj=1.0000</w:t>
      </w:r>
    </w:p>
    <w:p>
      <w:r>
        <w:rPr>
          <w:b w:val="0"/>
          <w:i w:val="0"/>
          <w:sz w:val="22"/>
        </w:rPr>
        <w:t xml:space="preserve">    B vs C: W=0.0000, p=1.0000, p_adj=1.0000</w:t>
      </w:r>
    </w:p>
    <w:p>
      <w:r>
        <w:rPr>
          <w:b w:val="0"/>
          <w:i w:val="0"/>
          <w:sz w:val="22"/>
        </w:rPr>
        <w:br/>
        <w:t>[RQ3]</w:t>
      </w:r>
    </w:p>
    <w:p>
      <w:r>
        <w:rPr>
          <w:b w:val="0"/>
          <w:i w:val="0"/>
          <w:sz w:val="22"/>
        </w:rPr>
        <w:br/>
        <w:t>Inferencia (piloto):</w:t>
      </w:r>
    </w:p>
    <w:p>
      <w:r>
        <w:rPr>
          <w:b w:val="0"/>
          <w:i w:val="0"/>
          <w:sz w:val="22"/>
        </w:rPr>
        <w:t xml:space="preserve">  Brecha calibración | Friedman chi2=3.7143, p=0.1561 (n=3)</w:t>
      </w:r>
    </w:p>
    <w:p>
      <w:r>
        <w:rPr>
          <w:b w:val="0"/>
          <w:i w:val="0"/>
          <w:sz w:val="22"/>
        </w:rPr>
        <w:t xml:space="preserve">  Post hoc Wilcoxon pareado (p ajustada Bonferroni, 3 comparaciones):</w:t>
      </w:r>
    </w:p>
    <w:p>
      <w:r>
        <w:rPr>
          <w:b w:val="0"/>
          <w:i w:val="0"/>
          <w:sz w:val="22"/>
        </w:rPr>
        <w:t xml:space="preserve">    A vs B: W=0.0000, p=0.5000, p_adj=1.0000</w:t>
      </w:r>
    </w:p>
    <w:p>
      <w:r>
        <w:rPr>
          <w:b w:val="0"/>
          <w:i w:val="0"/>
          <w:sz w:val="22"/>
        </w:rPr>
        <w:t xml:space="preserve">    A vs C: W=0.0000, p=0.5000, p_adj=1.0000</w:t>
      </w:r>
    </w:p>
    <w:p>
      <w:pPr>
        <w:sectPr>
          <w:pgSz w:w="12240" w:h="15840"/>
          <w:pgMar w:top="1417" w:right="1417" w:bottom="1417" w:left="1587" w:header="720" w:footer="720" w:gutter="0"/>
          <w:cols w:num="2" w:space="720"/>
          <w:docGrid w:linePitch="360"/>
        </w:sectPr>
      </w:pPr>
    </w:p>
    <w:p>
      <w:r>
        <w:rPr>
          <w:b/>
          <w:sz w:val="20"/>
        </w:rPr>
        <w:t>Tabla 1. Precisión media por condición (% aciertos)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Condición</w:t>
            </w:r>
          </w:p>
        </w:tc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Media</w:t>
            </w:r>
          </w:p>
        </w:tc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66.67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77.78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83.33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3</w:t>
            </w:r>
          </w:p>
        </w:tc>
      </w:tr>
    </w:tbl>
    <w:p/>
    <w:p>
      <w:pPr>
        <w:sectPr>
          <w:type w:val="continuous"/>
          <w:pgSz w:w="12240" w:h="15840"/>
          <w:pgMar w:top="1417" w:right="1417" w:bottom="1417" w:left="1587" w:header="720" w:footer="720" w:gutter="0"/>
          <w:cols w:num="1"/>
          <w:docGrid w:linePitch="360"/>
        </w:sectPr>
      </w:pPr>
    </w:p>
    <w:p>
      <w:pPr>
        <w:sectPr>
          <w:type w:val="continuous"/>
          <w:pgSz w:w="12240" w:h="15840"/>
          <w:pgMar w:top="1417" w:right="1417" w:bottom="1417" w:left="1587" w:header="720" w:footer="720" w:gutter="0"/>
          <w:cols w:num="2" w:space="720"/>
          <w:docGrid w:linePitch="360"/>
        </w:sectPr>
      </w:pP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6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1_preci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268"/>
          <w:sz w:val="18"/>
        </w:rPr>
        <w:t>Figura 1. Precisión media por condición</w:t>
      </w:r>
    </w:p>
    <w:p/>
    <w:p>
      <w:pPr>
        <w:sectPr>
          <w:type w:val="continuous"/>
          <w:pgSz w:w="12240" w:h="15840"/>
          <w:pgMar w:top="1417" w:right="1417" w:bottom="1417" w:left="1587" w:header="720" w:footer="720" w:gutter="0"/>
          <w:cols w:num="1"/>
          <w:docGrid w:linePitch="360"/>
        </w:sectPr>
      </w:pPr>
    </w:p>
    <w:p>
      <w:pPr>
        <w:sectPr>
          <w:type w:val="continuous"/>
          <w:pgSz w:w="12240" w:h="15840"/>
          <w:pgMar w:top="1417" w:right="1417" w:bottom="1417" w:left="1587" w:header="720" w:footer="720" w:gutter="0"/>
          <w:cols w:num="2" w:space="720"/>
          <w:docGrid w:linePitch="360"/>
        </w:sectPr>
      </w:pPr>
    </w:p>
    <w:p>
      <w:r>
        <w:rPr>
          <w:b/>
          <w:sz w:val="20"/>
        </w:rPr>
        <w:t>Tabla 2. Confianza media por condición (Unity, 1–7)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Condición</w:t>
            </w:r>
          </w:p>
        </w:tc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Media</w:t>
            </w:r>
          </w:p>
        </w:tc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5.0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5.0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5.0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3</w:t>
            </w:r>
          </w:p>
        </w:tc>
      </w:tr>
    </w:tbl>
    <w:p/>
    <w:p>
      <w:pPr>
        <w:sectPr>
          <w:type w:val="continuous"/>
          <w:pgSz w:w="12240" w:h="15840"/>
          <w:pgMar w:top="1417" w:right="1417" w:bottom="1417" w:left="1587" w:header="720" w:footer="720" w:gutter="0"/>
          <w:cols w:num="1"/>
          <w:docGrid w:linePitch="360"/>
        </w:sectPr>
      </w:pPr>
    </w:p>
    <w:p>
      <w:pPr>
        <w:sectPr>
          <w:type w:val="continuous"/>
          <w:pgSz w:w="12240" w:h="15840"/>
          <w:pgMar w:top="1417" w:right="1417" w:bottom="1417" w:left="1587" w:header="720" w:footer="720" w:gutter="0"/>
          <w:cols w:num="2" w:space="720"/>
          <w:docGrid w:linePitch="360"/>
        </w:sectPr>
      </w:pP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67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2_confi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268"/>
          <w:sz w:val="18"/>
        </w:rPr>
        <w:t>Figura 2. Confianza media por condición</w:t>
      </w:r>
    </w:p>
    <w:p/>
    <w:p>
      <w:pPr>
        <w:sectPr>
          <w:type w:val="continuous"/>
          <w:pgSz w:w="12240" w:h="15840"/>
          <w:pgMar w:top="1417" w:right="1417" w:bottom="1417" w:left="1587" w:header="720" w:footer="720" w:gutter="0"/>
          <w:cols w:num="1"/>
          <w:docGrid w:linePitch="360"/>
        </w:sectPr>
      </w:pPr>
    </w:p>
    <w:p>
      <w:pPr>
        <w:sectPr>
          <w:type w:val="continuous"/>
          <w:pgSz w:w="12240" w:h="15840"/>
          <w:pgMar w:top="1417" w:right="1417" w:bottom="1417" w:left="1587" w:header="720" w:footer="720" w:gutter="0"/>
          <w:cols w:num="2" w:space="720"/>
          <w:docGrid w:linePitch="360"/>
        </w:sectPr>
      </w:pPr>
    </w:p>
    <w:p>
      <w:r>
        <w:rPr>
          <w:b/>
          <w:sz w:val="20"/>
        </w:rPr>
        <w:t>Tabla 3. Brecha de calibración por condición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Condición</w:t>
            </w:r>
          </w:p>
        </w:tc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0.0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-0.1111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-0.1667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3</w:t>
            </w:r>
          </w:p>
        </w:tc>
      </w:tr>
    </w:tbl>
    <w:p/>
    <w:p>
      <w:pPr>
        <w:sectPr>
          <w:type w:val="continuous"/>
          <w:pgSz w:w="12240" w:h="15840"/>
          <w:pgMar w:top="1417" w:right="1417" w:bottom="1417" w:left="1587" w:header="720" w:footer="720" w:gutter="0"/>
          <w:cols w:num="1"/>
          <w:docGrid w:linePitch="360"/>
        </w:sectPr>
      </w:pPr>
    </w:p>
    <w:p>
      <w:pPr>
        <w:sectPr>
          <w:type w:val="continuous"/>
          <w:pgSz w:w="12240" w:h="15840"/>
          <w:pgMar w:top="1417" w:right="1417" w:bottom="1417" w:left="1587" w:header="720" w:footer="720" w:gutter="0"/>
          <w:cols w:num="2" w:space="720"/>
          <w:docGrid w:linePitch="360"/>
        </w:sectPr>
      </w:pP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67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3_calibration_g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268"/>
          <w:sz w:val="18"/>
        </w:rPr>
        <w:t>Figura 3. Brecha de calibración</w:t>
      </w:r>
    </w:p>
    <w:p/>
    <w:p>
      <w:pPr>
        <w:sectPr>
          <w:type w:val="continuous"/>
          <w:pgSz w:w="12240" w:h="15840"/>
          <w:pgMar w:top="1417" w:right="1417" w:bottom="1417" w:left="1587" w:header="720" w:footer="720" w:gutter="0"/>
          <w:cols w:num="1"/>
          <w:docGrid w:linePitch="360"/>
        </w:sectPr>
      </w:pPr>
    </w:p>
    <w:p>
      <w:pPr>
        <w:sectPr>
          <w:type w:val="continuous"/>
          <w:pgSz w:w="12240" w:h="15840"/>
          <w:pgMar w:top="1417" w:right="1417" w:bottom="1417" w:left="1587" w:header="720" w:footer="720" w:gutter="0"/>
          <w:cols w:num="2" w:space="720"/>
          <w:docGrid w:linePitch="360"/>
        </w:sectPr>
      </w:pPr>
    </w:p>
    <w:p>
      <w:r>
        <w:rPr>
          <w:b/>
          <w:sz w:val="20"/>
        </w:rPr>
        <w:t>Tabla 5. Métricas del agente (B vs C)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Media B</w:t>
            </w:r>
          </w:p>
        </w:tc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Media C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HelpScore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67.5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Engagement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15.0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ChatExchanges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1.0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ModelLeaks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0.0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</w:tbl>
    <w:p/>
    <w:p>
      <w:pPr>
        <w:sectPr>
          <w:type w:val="continuous"/>
          <w:pgSz w:w="12240" w:h="15840"/>
          <w:pgMar w:top="1417" w:right="1417" w:bottom="1417" w:left="1587" w:header="720" w:footer="720" w:gutter="0"/>
          <w:cols w:num="1"/>
          <w:docGrid w:linePitch="360"/>
        </w:sectPr>
      </w:pPr>
    </w:p>
    <w:p>
      <w:pPr>
        <w:sectPr>
          <w:type w:val="continuous"/>
          <w:pgSz w:w="12240" w:h="15840"/>
          <w:pgMar w:top="1417" w:right="1417" w:bottom="1417" w:left="1587" w:header="720" w:footer="720" w:gutter="0"/>
          <w:cols w:num="2" w:space="720"/>
          <w:docGrid w:linePitch="360"/>
        </w:sectPr>
      </w:pPr>
    </w:p>
    <w:p>
      <w:pPr>
        <w:sectPr>
          <w:type w:val="continuous"/>
          <w:pgSz w:w="12240" w:h="15840"/>
          <w:pgMar w:top="1417" w:right="1417" w:bottom="1417" w:left="1587" w:header="720" w:footer="720" w:gutter="0"/>
          <w:cols w:num="1"/>
          <w:docGrid w:linePitch="360"/>
        </w:sectPr>
      </w:pPr>
    </w:p>
    <w:p>
      <w:pPr>
        <w:sectPr>
          <w:type w:val="continuous"/>
          <w:pgSz w:w="12240" w:h="15840"/>
          <w:pgMar w:top="1417" w:right="1417" w:bottom="1417" w:left="1587" w:header="720" w:footer="720" w:gutter="0"/>
          <w:cols w:num="2" w:space="720"/>
          <w:docGrid w:linePitch="360"/>
        </w:sectPr>
      </w:pPr>
    </w:p>
    <w:p>
      <w:pPr>
        <w:sectPr>
          <w:type w:val="continuous"/>
          <w:pgSz w:w="12240" w:h="15840"/>
          <w:pgMar w:top="1417" w:right="1417" w:bottom="1417" w:left="1587" w:header="720" w:footer="720" w:gutter="0"/>
          <w:cols w:num="1"/>
          <w:docGrid w:linePitch="360"/>
        </w:sectPr>
      </w:pPr>
    </w:p>
    <w:p>
      <w:pPr>
        <w:sectPr>
          <w:type w:val="continuous"/>
          <w:pgSz w:w="12240" w:h="15840"/>
          <w:pgMar w:top="1417" w:right="1417" w:bottom="1417" w:left="1587" w:header="720" w:footer="720" w:gutter="0"/>
          <w:cols w:num="2" w:space="720"/>
          <w:docGrid w:linePitch="360"/>
        </w:sectPr>
      </w:pPr>
    </w:p>
    <w:p>
      <w:pPr>
        <w:sectPr>
          <w:type w:val="continuous"/>
          <w:pgSz w:w="12240" w:h="15840"/>
          <w:pgMar w:top="1417" w:right="1417" w:bottom="1417" w:left="1587" w:header="720" w:footer="720" w:gutter="0"/>
          <w:cols w:num="1"/>
          <w:docGrid w:linePitch="360"/>
        </w:sectPr>
      </w:pPr>
    </w:p>
    <w:p>
      <w:pPr>
        <w:sectPr>
          <w:type w:val="continuous"/>
          <w:pgSz w:w="12240" w:h="15840"/>
          <w:pgMar w:top="1417" w:right="1417" w:bottom="1417" w:left="1587" w:header="720" w:footer="720" w:gutter="0"/>
          <w:cols w:num="2" w:space="720"/>
          <w:docGrid w:linePitch="360"/>
        </w:sectPr>
      </w:pPr>
    </w:p>
    <w:p>
      <w:r>
        <w:rPr>
          <w:b/>
          <w:sz w:val="20"/>
        </w:rPr>
        <w:t>Tabla 6. Viabilidad técnica del piloto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ValidRows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54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TotalRows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54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ValidPct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100.0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Passes95PctRule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GeminiPasses90Pct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TtsPasses85Pct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TotalModelLeaks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LeaksPer10Participants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0.0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LeaksPassRule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</w:t>
            </w:r>
          </w:p>
        </w:tc>
      </w:tr>
    </w:tbl>
    <w:p/>
    <w:p>
      <w:pPr>
        <w:sectPr>
          <w:type w:val="continuous"/>
          <w:pgSz w:w="12240" w:h="15840"/>
          <w:pgMar w:top="1417" w:right="1417" w:bottom="1417" w:left="1587" w:header="720" w:footer="720" w:gutter="0"/>
          <w:cols w:num="1"/>
          <w:docGrid w:linePitch="360"/>
        </w:sectPr>
      </w:pPr>
    </w:p>
    <w:p>
      <w:pPr>
        <w:pStyle w:val="Heading1"/>
      </w:pPr>
      <w:r>
        <w:t>4. Discusión</w:t>
      </w:r>
    </w:p>
    <w:p>
      <w:r>
        <w:rPr>
          <w:b w:val="0"/>
          <w:i w:val="0"/>
          <w:sz w:val="22"/>
        </w:rPr>
        <w:t>Los resultados deben interpretarse como exploratorios dado el diseño piloto within-subjects.</w:t>
      </w:r>
    </w:p>
    <w:p>
      <w:r>
        <w:rPr>
          <w:b w:val="0"/>
          <w:i w:val="0"/>
          <w:sz w:val="22"/>
        </w:rPr>
        <w:t>Las diferencias entre condiciones A (sin agente), B (chat texto) y C (avatar + voz) se discuten en relación con las hipótesis H1–H3 y la carga cognitiva reportada en Forms.</w:t>
      </w:r>
    </w:p>
    <w:p>
      <w:r>
        <w:rPr>
          <w:b w:val="0"/>
          <w:i w:val="0"/>
          <w:sz w:val="22"/>
        </w:rPr>
        <w:t>Limitaciones: tamaño muestral del piloto, generalización y dependencia de la infraestructura (Gemini, Azure TTS) en condiciones B/C.</w:t>
      </w:r>
    </w:p>
    <w:p>
      <w:r>
        <w:rPr>
          <w:b w:val="0"/>
          <w:i w:val="0"/>
          <w:sz w:val="22"/>
        </w:rPr>
        <w:t>La comparación B versus C aísla el efecto de la modalidad embodied (avatar + voz) manteniendo constante el contenido del LLM. Los cuestionarios meCUE y RAW-TLX aportan contexto sobre carga y percepción, aunque la medida primaria de confianza proviene de la escala inmediata en Unity.</w:t>
      </w:r>
    </w:p>
    <w:p>
      <w:r>
        <w:rPr>
          <w:b w:val="0"/>
          <w:i w:val="0"/>
          <w:sz w:val="22"/>
        </w:rPr>
        <w:t>Entre las limitaciones figuran el tamaño muestral del piloto, la dependencia de APIs en la nube y la generalización limitada fuera del contexto académico ficticio empleado.</w:t>
      </w:r>
    </w:p>
    <w:p>
      <w:pPr>
        <w:pStyle w:val="Heading1"/>
      </w:pPr>
      <w:r>
        <w:t>5. Conclusiones</w:t>
      </w:r>
    </w:p>
    <w:p>
      <w:r>
        <w:rPr>
          <w:b w:val="0"/>
          <w:i w:val="0"/>
          <w:sz w:val="22"/>
        </w:rPr>
        <w:t>Se documentó el procesamiento de datos de Unity y Forms en tablas reproducibles.</w:t>
      </w:r>
    </w:p>
    <w:p>
      <w:r>
        <w:rPr>
          <w:b w:val="0"/>
          <w:i w:val="0"/>
          <w:sz w:val="22"/>
        </w:rPr>
        <w:t>Las figuras adjuntas ilustran medias por condición para precisión, confianza y calibración.</w:t>
      </w:r>
    </w:p>
    <w:p>
      <w:r>
        <w:rPr>
          <w:b w:val="0"/>
          <w:i w:val="0"/>
          <w:sz w:val="22"/>
        </w:rPr>
        <w:t>Trabajo futuro: ampliar N, análisis cualitativo de entrevistas y refinamiento del agente.</w:t>
      </w:r>
    </w:p>
    <w:p>
      <w:pPr>
        <w:pStyle w:val="Heading1"/>
      </w:pPr>
      <w:r>
        <w:t>Referencias</w:t>
      </w:r>
    </w:p>
    <w:p>
      <w:pPr>
        <w:pStyle w:val="ListBullet"/>
      </w:pPr>
      <w:r>
        <w:rPr>
          <w:sz w:val="18"/>
        </w:rPr>
        <w:t>Lee, J. D., &amp; See, K. A. (2004). Trust in automation: Designing for appropriate reliance. Human Factors, 46(1), 50–80.</w:t>
      </w:r>
    </w:p>
    <w:p>
      <w:pPr>
        <w:pStyle w:val="ListBullet"/>
      </w:pPr>
      <w:r>
        <w:rPr>
          <w:sz w:val="18"/>
        </w:rPr>
        <w:t>Minge, M., &amp; Thüring, M. (2018). meCUE 2.0. Proceedings of Mensch und Computer 2018.</w:t>
      </w:r>
    </w:p>
    <w:p>
      <w:pPr>
        <w:pStyle w:val="ListBullet"/>
      </w:pPr>
      <w:r>
        <w:rPr>
          <w:sz w:val="18"/>
        </w:rPr>
        <w:t>Hart, S. G., &amp; Staveland, L. E. (1988). Development of NASA-TLX. Advances in Psychology, 52, 139–183.</w:t>
      </w:r>
    </w:p>
    <w:p>
      <w:pPr>
        <w:pStyle w:val="ListBullet"/>
      </w:pPr>
      <w:r>
        <w:rPr>
          <w:sz w:val="18"/>
        </w:rPr>
        <w:t>Nielsen, J. (1994). Usability Engineering. Morgan Kaufmann.</w:t>
      </w:r>
    </w:p>
    <w:p>
      <w:pPr>
        <w:pStyle w:val="ListBullet"/>
      </w:pPr>
      <w:r>
        <w:rPr>
          <w:sz w:val="18"/>
        </w:rPr>
        <w:t>Brooke, J. (1996). SUS: A quick and dirty usability scale. Usability Evaluation in Industry.</w:t>
      </w:r>
    </w:p>
    <w:sectPr w:rsidR="00FC693F" w:rsidRPr="0006063C" w:rsidSect="00034616">
      <w:type w:val="continuous"/>
      <w:pgSz w:w="12240" w:h="15840"/>
      <w:pgMar w:top="1417" w:right="1417" w:bottom="1417" w:left="158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68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125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