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865"/>
          <w:sz w:val="36"/>
        </w:rPr>
        <w:t>Justificación metodológica del meCUE curado</w:t>
      </w:r>
    </w:p>
    <w:p>
      <w:pPr>
        <w:jc w:val="center"/>
      </w:pPr>
      <w:r>
        <w:rPr>
          <w:sz w:val="22"/>
        </w:rPr>
        <w:t>Piloto PF-3311 · Efecto de la visibilidad de un agente virtual</w:t>
        <w:br/>
        <w:t>Ney Fred Jiménez Campos (B03230) · UCR</w:t>
        <w:br/>
        <w:br/>
        <w:t>Documento complementario al cuestionario meCUE en Google Forms</w:t>
      </w:r>
    </w:p>
    <w:p>
      <w:r>
        <w:br w:type="page"/>
      </w:r>
    </w:p>
    <w:p>
      <w:r>
        <w:rPr>
          <w:b/>
          <w:color w:val="003865"/>
          <w:sz w:val="26"/>
        </w:rPr>
        <w:t>1. Propósito</w:t>
      </w:r>
    </w:p>
    <w:p>
      <w:pPr>
        <w:spacing w:after="120"/>
      </w:pPr>
      <w:r>
        <w:t>Este documento justifica por qué y con qué criterio se aplicó una versión curada del cuestionario meCUE 2.0 (Minge &amp; Thüring, 2018) en el piloto within-subjects (condiciones A, B, C), en lugar del instrumento completo sin adaptación.</w:t>
      </w:r>
    </w:p>
    <w:p>
      <w:pPr>
        <w:spacing w:after="120"/>
      </w:pPr>
      <w:r>
        <w:t>No sustituye la validación psicométrica del meCUE original; declara las decisiones de adaptación modular para maximizar validez de contenido y validez ecológica en un contexto experimental de sesión única.</w:t>
      </w:r>
    </w:p>
    <w:p>
      <w:r>
        <w:rPr>
          <w:b/>
          <w:color w:val="003865"/>
          <w:sz w:val="26"/>
        </w:rPr>
        <w:t>2. Marco: meCUE modular</w:t>
      </w:r>
    </w:p>
    <w:p>
      <w:pPr>
        <w:spacing w:after="120"/>
      </w:pPr>
      <w:r>
        <w:t>El meCUE 2.0 es un cuestionario modular (Minge, Thüring &amp; Wagner, 2016; Minge &amp; Thüring, 2018). Los módulos pueden seleccionarse según el objetivo del estudio, documentando qué ítems se administraron. Esto es coherente con la evaluación centrada en el usuario (ISO 9241-210:2019).</w:t>
      </w:r>
    </w:p>
    <w:p>
      <w:r>
        <w:rPr>
          <w:b/>
          <w:color w:val="003865"/>
          <w:sz w:val="26"/>
        </w:rPr>
        <w:t>3. Contexto del piloto</w:t>
      </w:r>
    </w:p>
    <w:p>
      <w:pPr>
        <w:spacing w:after="120"/>
      </w:pPr>
      <w:r>
        <w:t>«El producto» = el sistema de asistencia del bloque (chat en B; agente virtual en C). Administración inmediatamente después de cada bloque B o C.</w:t>
      </w:r>
    </w:p>
    <w:p>
      <w:r>
        <w:rPr>
          <w:b/>
          <w:color w:val="003865"/>
          <w:sz w:val="26"/>
        </w:rPr>
        <w:t>4. Criterios de curación</w:t>
      </w:r>
    </w:p>
    <w:p>
      <w:pPr>
        <w:pStyle w:val="ListBullet"/>
      </w:pPr>
      <w:r>
        <w:t>Validez de contenido: pertinencia del ítem a las RQs (Haynes et al., 1995; Lawshe, 1975).</w:t>
      </w:r>
    </w:p>
    <w:p>
      <w:pPr>
        <w:pStyle w:val="ListBullet"/>
      </w:pPr>
      <w:r>
        <w:t>Validez ecológica: ítems respondibles sin simular mercado (Hornbæk, 2010; Lewis, 2021).</w:t>
      </w:r>
    </w:p>
    <w:p>
      <w:pPr>
        <w:pStyle w:val="ListBullet"/>
      </w:pPr>
      <w:r>
        <w:t>Diseño modular meCUE: subconjuntos documentados (Minge &amp; Thüring, 2018).</w:t>
      </w:r>
    </w:p>
    <w:p>
      <w:pPr>
        <w:pStyle w:val="ListBullet"/>
      </w:pPr>
      <w:r>
        <w:t>Adaptación de instrumentos: ITC Guidelines (2017).</w:t>
      </w:r>
    </w:p>
    <w:p>
      <w:r>
        <w:rPr>
          <w:b/>
          <w:color w:val="003865"/>
          <w:sz w:val="26"/>
        </w:rPr>
        <w:t>5. Resumen por módulo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Decisión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Ítems</w:t>
            </w:r>
          </w:p>
        </w:tc>
      </w:tr>
      <w:tr>
        <w:tc>
          <w:tcPr>
            <w:tcW w:type="dxa" w:w="3135"/>
          </w:tcPr>
          <w:p>
            <w:r>
              <w:t>I</w:t>
            </w:r>
          </w:p>
        </w:tc>
        <w:tc>
          <w:tcPr>
            <w:tcW w:type="dxa" w:w="3135"/>
          </w:tcPr>
          <w:p>
            <w:r>
              <w:t>Parcial (U2*, F2*)</w:t>
            </w:r>
          </w:p>
        </w:tc>
        <w:tc>
          <w:tcPr>
            <w:tcW w:type="dxa" w:w="3135"/>
          </w:tcPr>
          <w:p>
            <w:r>
              <w:t>6</w:t>
            </w:r>
          </w:p>
        </w:tc>
      </w:tr>
      <w:tr>
        <w:tc>
          <w:tcPr>
            <w:tcW w:type="dxa" w:w="3135"/>
          </w:tcPr>
          <w:p>
            <w:r>
              <w:t>II (solo C)</w:t>
            </w:r>
          </w:p>
        </w:tc>
        <w:tc>
          <w:tcPr>
            <w:tcW w:type="dxa" w:w="3135"/>
          </w:tcPr>
          <w:p>
            <w:r>
              <w:t>Curado</w:t>
            </w:r>
          </w:p>
        </w:tc>
        <w:tc>
          <w:tcPr>
            <w:tcW w:type="dxa" w:w="3135"/>
          </w:tcPr>
          <w:p>
            <w:r>
              <w:t>5</w:t>
            </w:r>
          </w:p>
        </w:tc>
      </w:tr>
      <w:tr>
        <w:tc>
          <w:tcPr>
            <w:tcW w:type="dxa" w:w="3135"/>
          </w:tcPr>
          <w:p>
            <w:r>
              <w:t>III</w:t>
            </w:r>
          </w:p>
        </w:tc>
        <w:tc>
          <w:tcPr>
            <w:tcW w:type="dxa" w:w="3135"/>
          </w:tcPr>
          <w:p>
            <w:r>
              <w:t>Completo</w:t>
            </w:r>
          </w:p>
        </w:tc>
        <w:tc>
          <w:tcPr>
            <w:tcW w:type="dxa" w:w="3135"/>
          </w:tcPr>
          <w:p>
            <w:r>
              <w:t>12</w:t>
            </w:r>
          </w:p>
        </w:tc>
      </w:tr>
      <w:tr>
        <w:tc>
          <w:tcPr>
            <w:tcW w:type="dxa" w:w="3135"/>
          </w:tcPr>
          <w:p>
            <w:r>
              <w:t>IV</w:t>
            </w:r>
          </w:p>
        </w:tc>
        <w:tc>
          <w:tcPr>
            <w:tcW w:type="dxa" w:w="3135"/>
          </w:tcPr>
          <w:p>
            <w:r>
              <w:t>Curado</w:t>
            </w:r>
          </w:p>
        </w:tc>
        <w:tc>
          <w:tcPr>
            <w:tcW w:type="dxa" w:w="3135"/>
          </w:tcPr>
          <w:p>
            <w:r>
              <w:t>2</w:t>
            </w:r>
          </w:p>
        </w:tc>
      </w:tr>
      <w:tr>
        <w:tc>
          <w:tcPr>
            <w:tcW w:type="dxa" w:w="3135"/>
          </w:tcPr>
          <w:p>
            <w:r>
              <w:t>V</w:t>
            </w:r>
          </w:p>
        </w:tc>
        <w:tc>
          <w:tcPr>
            <w:tcW w:type="dxa" w:w="3135"/>
          </w:tcPr>
          <w:p>
            <w:r>
              <w:t>Completo</w:t>
            </w:r>
          </w:p>
        </w:tc>
        <w:tc>
          <w:tcPr>
            <w:tcW w:type="dxa" w:w="3135"/>
          </w:tcPr>
          <w:p>
            <w:r>
              <w:t>1</w:t>
            </w:r>
          </w:p>
        </w:tc>
      </w:tr>
    </w:tbl>
    <w:p/>
    <w:p>
      <w:r>
        <w:rPr>
          <w:b/>
          <w:color w:val="003865"/>
          <w:sz w:val="26"/>
        </w:rPr>
        <w:t>6. Módulo II — Curación (condición C)</w:t>
      </w:r>
    </w:p>
    <w:p>
      <w:pPr>
        <w:spacing w:after="120"/>
      </w:pPr>
      <w:r>
        <w:t>Omitidos S1–S3 (prestigio social): baja pertinencia en prototipo de laboratorio.</w:t>
      </w:r>
    </w:p>
    <w:p>
      <w:pPr>
        <w:spacing w:after="120"/>
      </w:pPr>
      <w:r>
        <w:t>Conservados: A1–A3 (estética), C2 (cercanía). C3* adaptado: «Me costaría completar tareas similares sin un agente como este.»</w:t>
      </w:r>
    </w:p>
    <w:p>
      <w:r>
        <w:rPr>
          <w:b/>
          <w:color w:val="003865"/>
          <w:sz w:val="26"/>
        </w:rPr>
        <w:t>6.4 Micro-adaptaciones Módulo I (B y 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Decisión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Enunciado administrado</w:t>
            </w:r>
          </w:p>
        </w:tc>
      </w:tr>
      <w:tr>
        <w:tc>
          <w:tcPr>
            <w:tcW w:type="dxa" w:w="3135"/>
          </w:tcPr>
          <w:p>
            <w:r>
              <w:t>U2*</w:t>
            </w:r>
          </w:p>
        </w:tc>
        <w:tc>
          <w:tcPr>
            <w:tcW w:type="dxa" w:w="3135"/>
          </w:tcPr>
          <w:p>
            <w:r>
              <w:t>Adaptado</w:t>
            </w:r>
          </w:p>
        </w:tc>
        <w:tc>
          <w:tcPr>
            <w:tcW w:type="dxa" w:w="3135"/>
          </w:tcPr>
          <w:p>
            <w:r>
              <w:t>Las funciones del asistente apoyan lo que necesitaba hacer en los casos de este bloque.</w:t>
            </w:r>
          </w:p>
        </w:tc>
      </w:tr>
      <w:tr>
        <w:tc>
          <w:tcPr>
            <w:tcW w:type="dxa" w:w="3135"/>
          </w:tcPr>
          <w:p>
            <w:r>
              <w:t>F2*</w:t>
            </w:r>
          </w:p>
        </w:tc>
        <w:tc>
          <w:tcPr>
            <w:tcW w:type="dxa" w:w="3135"/>
          </w:tcPr>
          <w:p>
            <w:r>
              <w:t>Adaptado</w:t>
            </w:r>
          </w:p>
        </w:tc>
        <w:tc>
          <w:tcPr>
            <w:tcW w:type="dxa" w:w="3135"/>
          </w:tcPr>
          <w:p>
            <w:r>
              <w:t>Con la ayuda de este asistente pude avanzar en los casos de este bloque.</w:t>
            </w:r>
          </w:p>
        </w:tc>
      </w:tr>
    </w:tbl>
    <w:p/>
    <w:p>
      <w:r>
        <w:rPr>
          <w:b/>
          <w:color w:val="003865"/>
          <w:sz w:val="26"/>
        </w:rPr>
        <w:t>7. Módulo IV — Curación (B y 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Decisión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Enunciado / nota</w:t>
            </w:r>
          </w:p>
        </w:tc>
      </w:tr>
      <w:tr>
        <w:tc>
          <w:tcPr>
            <w:tcW w:type="dxa" w:w="3135"/>
          </w:tcPr>
          <w:p>
            <w:r>
              <w:t>IN.1</w:t>
            </w:r>
          </w:p>
        </w:tc>
        <w:tc>
          <w:tcPr>
            <w:tcW w:type="dxa" w:w="3135"/>
          </w:tcPr>
          <w:p>
            <w:r>
              <w:t>Adaptado → IN.1*</w:t>
            </w:r>
          </w:p>
        </w:tc>
        <w:tc>
          <w:tcPr>
            <w:tcW w:type="dxa" w:w="3135"/>
          </w:tcPr>
          <w:p>
            <w:r>
              <w:t>Volvería a usar un asistente como este para tareas similares.</w:t>
            </w:r>
          </w:p>
        </w:tc>
      </w:tr>
      <w:tr>
        <w:tc>
          <w:tcPr>
            <w:tcW w:type="dxa" w:w="3135"/>
          </w:tcPr>
          <w:p>
            <w:r>
              <w:t>IN.2</w:t>
            </w:r>
          </w:p>
        </w:tc>
        <w:tc>
          <w:tcPr>
            <w:tcW w:type="dxa" w:w="3135"/>
          </w:tcPr>
          <w:p>
            <w:r>
              <w:t>Omitido</w:t>
            </w:r>
          </w:p>
        </w:tc>
        <w:tc>
          <w:tcPr>
            <w:tcW w:type="dxa" w:w="3135"/>
          </w:tcPr>
          <w:p>
            <w:r>
              <w:t>Lenguaje de marketing; sesión única.</w:t>
            </w:r>
          </w:p>
        </w:tc>
      </w:tr>
      <w:tr>
        <w:tc>
          <w:tcPr>
            <w:tcW w:type="dxa" w:w="3135"/>
          </w:tcPr>
          <w:p>
            <w:r>
              <w:t>L1–L3</w:t>
            </w:r>
          </w:p>
        </w:tc>
        <w:tc>
          <w:tcPr>
            <w:tcW w:type="dxa" w:w="3135"/>
          </w:tcPr>
          <w:p>
            <w:r>
              <w:t>Omitidos</w:t>
            </w:r>
          </w:p>
        </w:tc>
        <w:tc>
          <w:tcPr>
            <w:tcW w:type="dxa" w:w="3135"/>
          </w:tcPr>
          <w:p>
            <w:r>
              <w:t>Lealtad comparativa; no hay alternativas reales.</w:t>
            </w:r>
          </w:p>
        </w:tc>
      </w:tr>
      <w:tr>
        <w:tc>
          <w:tcPr>
            <w:tcW w:type="dxa" w:w="3135"/>
          </w:tcPr>
          <w:p>
            <w:r>
              <w:t>IN.3</w:t>
            </w:r>
          </w:p>
        </w:tc>
        <w:tc>
          <w:tcPr>
            <w:tcW w:type="dxa" w:w="3135"/>
          </w:tcPr>
          <w:p>
            <w:r>
              <w:t>Mantenido</w:t>
            </w:r>
          </w:p>
        </w:tc>
        <w:tc>
          <w:tcPr>
            <w:tcW w:type="dxa" w:w="3135"/>
          </w:tcPr>
          <w:p>
            <w:r>
              <w:t>Al usar el producto, pierdo la noción del tiempo.</w:t>
            </w:r>
          </w:p>
        </w:tc>
      </w:tr>
    </w:tbl>
    <w:p/>
    <w:p>
      <w:pPr>
        <w:spacing w:after="120"/>
      </w:pPr>
      <w:r>
        <w:t>En informes: «Módulo IV reducido (intención de reutilización + engagement)».</w:t>
      </w:r>
    </w:p>
    <w:p>
      <w:r>
        <w:rPr>
          <w:b/>
          <w:color w:val="003865"/>
          <w:sz w:val="26"/>
        </w:rPr>
        <w:t>8. Módulos I (parcial), III y V</w:t>
      </w:r>
    </w:p>
    <w:p>
      <w:pPr>
        <w:spacing w:after="120"/>
      </w:pPr>
      <w:r>
        <w:t>Módulo I: U2* y F2* adaptados; resto oficial. III y V sin cambios.</w:t>
      </w:r>
    </w:p>
    <w:p>
      <w:r>
        <w:rPr>
          <w:b/>
          <w:color w:val="003865"/>
          <w:sz w:val="26"/>
        </w:rPr>
        <w:t>9. RAW-TLX</w:t>
      </w:r>
    </w:p>
    <w:p>
      <w:pPr>
        <w:spacing w:after="120"/>
      </w:pPr>
      <w:r>
        <w:t>Nota en formularios 1–3: no había límite de tiempo impuesto; TLX-T es presión subjetiva.</w:t>
      </w:r>
    </w:p>
    <w:p>
      <w:r>
        <w:rPr>
          <w:b/>
          <w:color w:val="003865"/>
          <w:sz w:val="26"/>
        </w:rPr>
        <w:t>10. Limitaciones</w:t>
      </w:r>
    </w:p>
    <w:p>
      <w:pPr>
        <w:pStyle w:val="ListBullet"/>
      </w:pPr>
      <w:r>
        <w:t>No se calculan puntuaciones normativas del meCUE completo ni lealtad oficial.</w:t>
      </w:r>
    </w:p>
    <w:p>
      <w:pPr>
        <w:pStyle w:val="ListBullet"/>
      </w:pPr>
      <w:r>
        <w:t>IN.1*, U2*, F2* y C3* son adaptaciones; analizar como ítems individuales.</w:t>
      </w:r>
    </w:p>
    <w:p>
      <w:pPr>
        <w:pStyle w:val="ListBullet"/>
      </w:pPr>
      <w:r>
        <w:t>Curación por juicio experimento; sin panel Lawshe formal en piloto.</w:t>
      </w:r>
    </w:p>
    <w:p>
      <w:pPr>
        <w:pStyle w:val="ListBullet"/>
      </w:pPr>
      <w:r>
        <w:t>meCUE complementa confianza por ítem en Unity (RQ2).</w:t>
      </w:r>
    </w:p>
    <w:p>
      <w:r>
        <w:rPr>
          <w:b/>
          <w:color w:val="003865"/>
          <w:sz w:val="26"/>
        </w:rPr>
        <w:t>11. Redacción sugerida para informes</w:t>
      </w:r>
    </w:p>
    <w:p>
      <w:pPr>
        <w:spacing w:after="120"/>
      </w:pPr>
      <w:r>
        <w:t>Se administró un subconjunto modular curado del meCUE 2.0 (Minge &amp; Thüring, 2018), documentado en este anexo, siguiendo criterios de validez de contenido (Haynes et al., 1995) y guías ITC (2017). Las puntuaciones son exploratorias, no baremos normativos.</w:t>
      </w:r>
    </w:p>
    <w:p>
      <w:r>
        <w:br w:type="page"/>
      </w:r>
    </w:p>
    <w:p>
      <w:r>
        <w:rPr>
          <w:b/>
          <w:color w:val="003865"/>
          <w:sz w:val="26"/>
        </w:rPr>
        <w:t>Referencias bibliográficas</w:t>
      </w:r>
    </w:p>
    <w:p>
      <w:pPr>
        <w:spacing w:after="120"/>
      </w:pPr>
      <w:r>
        <w:t>Brave, S., Nass, C., &amp; Hutchinson, K. (2005). Computers that care. International Journal of Human-Computer Studies, 62(2), 161–178.</w:t>
      </w:r>
    </w:p>
    <w:p>
      <w:pPr>
        <w:spacing w:after="120"/>
      </w:pPr>
      <w:r>
        <w:t>Cassell, J., et al. (2000). Embodiment in conversational interfaces: Rea. CHI '00, 520–527.</w:t>
      </w:r>
    </w:p>
    <w:p>
      <w:pPr>
        <w:spacing w:after="120"/>
      </w:pPr>
      <w:r>
        <w:t>Hart, S. G. (2006). NASA-TLX; 20 years later. HFES Annual Meeting, 50(9), 904–908.</w:t>
      </w:r>
    </w:p>
    <w:p>
      <w:pPr>
        <w:spacing w:after="120"/>
      </w:pPr>
      <w:r>
        <w:t>Hart, S. G., &amp; Staveland, L. E. (1988). Development of NASA-TLX. Advances in Psychology, 52, 139–183.</w:t>
      </w:r>
    </w:p>
    <w:p>
      <w:pPr>
        <w:spacing w:after="120"/>
      </w:pPr>
      <w:r>
        <w:t>Haynes, S. N., Richard, D. C. S., &amp; Kubany, E. S. (1995). Content validity in psychological assessment. Psychological Assessment, 7(3), 238–247.</w:t>
      </w:r>
    </w:p>
    <w:p>
      <w:pPr>
        <w:spacing w:after="120"/>
      </w:pPr>
      <w:r>
        <w:t>Hornbæk, K. (2010). Dogmas in the assessment of usability evaluation methods. Behaviour &amp; Information Technology, 29(1), 97–111.</w:t>
      </w:r>
    </w:p>
    <w:p>
      <w:pPr>
        <w:spacing w:after="120"/>
      </w:pPr>
      <w:r>
        <w:t>International Test Commission. (2017). ITC Guidelines for Translating and Adapting Tests (2nd ed.).</w:t>
      </w:r>
    </w:p>
    <w:p>
      <w:pPr>
        <w:spacing w:after="120"/>
      </w:pPr>
      <w:r>
        <w:t>ISO 9241-210:2019. Human-centred design for interactive systems.</w:t>
      </w:r>
    </w:p>
    <w:p>
      <w:pPr>
        <w:spacing w:after="120"/>
      </w:pPr>
      <w:r>
        <w:t>Lawshe, C. H. (1975). A quantitative approach to content validity. Personnel Psychology, 28(4), 563–575.</w:t>
      </w:r>
    </w:p>
    <w:p>
      <w:pPr>
        <w:spacing w:after="120"/>
      </w:pPr>
      <w:r>
        <w:t>Lewis, J. R. (2021). UX research and usability evaluation: The long view. Human–Computer Interaction, 36(5), 409–422.</w:t>
      </w:r>
    </w:p>
    <w:p>
      <w:pPr>
        <w:spacing w:after="120"/>
      </w:pPr>
      <w:r>
        <w:t>Minge, M., &amp; Thüring, M. (2018). The MeCUE Questionnaire (2.0). Mensch und Computer 2018.</w:t>
      </w:r>
    </w:p>
    <w:p>
      <w:pPr>
        <w:spacing w:after="120"/>
      </w:pPr>
      <w:r>
        <w:t>Minge, M., Thüring, M., &amp; Wagner, I. (2016). The meCUE questionnaire. i-com, 15(3), 237–248.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