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24x7 NOC FORP PCO Letter</w:t>
      </w:r>
    </w:p>
    <w:p>
      <w:pPr>
        <w:spacing w:after="200"/>
        <w:jc w:val="center"/>
      </w:pPr>
      <w:r>
        <w:rPr>
          <w:sz w:val="24"/>
          <w:szCs w:val="24"/>
        </w:rPr>
        <w:t xml:space="preserve">Solicitation Number: FA880625RB003</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Electronic submission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Times 
New Roman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12 pt</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Weight</w:t>
            </w:r>
          </w:p>
        </w:tc>
        <w:tc>
          <w:tcPr>
            <w:tcW w:type="dxa" w:w="506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Key Criteria</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1: Experience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2: Program and Project Management</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bl>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Factor 2: Program and Project Management</w:t>
      </w:r>
    </w:p>
    <w:p>
      <w:pPr>
        <w:pStyle w:val="Heading2"/>
      </w:pPr>
      <w:r>
        <w:t xml:space="preserve">SEC-F1. Factor 1: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SEC-F2. Factor 2: Program and Project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CUI 
 CUI 10  
2.3.6 The Contractor shall support quarterly, multi-day (nominally three-day), in-person 
Program Increment events in Colorado Springs, Colorado. The location, duration, and 
frequency may change as requested by the SPO. 
2.3.7 The Contractor shall support quarterly, two-week long, in-person test events at operator 
location(s). Initial operator location will be at Vandenberg Space Force Base, CA; 
alternative locations may include, but are not limited to, Dahlgren Naval Support 
Facility, VA and Schriever SFB, CO. The duration and frequency may change as 
requested by the SPO.  
2.3.8 The Contractor shall make their own travel and lodging arrangements and shall ensure all 
required security requirements (e.g., Visit Requests) required for access to installations 
and/or facilities are completed prior to travel.  Compact Cars and Economy seats shall be 
used when available. 
2.3.9 The Contractor shall support meetings with mission partners and stakeholders as needed 
at required classification levels at a minimum Quarterly. 
2.4 Contract Data Requirements List (CDRL) 
2.4.1 The Contractor shall provide the CDRLs identified in Table 2. The SPO will review the 
submission of data per the CDRL prior to acceptance, acceptance criteria will include 
verification of appropriate intellectual property markings. 
Table 2: Contract Data Requirements List 
# CDRL Frequency 
A001 Cost Funds Status Report (CFSR) Monthly 
A002 Program Protection Implementation Plan (PPIP) Once 
A003 Data Accession List (DAL) Periodic 
A004 Program Management Review (PMR) Monthly</w:t>
            </w:r>
          </w:p>
          <w:p>
            <w:pPr>
              <w:pStyle w:val="ListParagraph"/>
              <w:numPr>
                <w:ilvl w:val="0"/>
                <w:numId w:val="2"/>
              </w:numPr>
            </w:pPr>
            <w:r>
              <w:rPr>
                <w:i w:val="false"/>
                <w:iCs w:val="false"/>
                <w:color w:val="000000"/>
                <w:sz w:val="20"/>
                <w:szCs w:val="20"/>
              </w:rPr>
              <w:t xml:space="preserve">[REQ] CUI 
 CUI 11  
• Program Management plan, 
• Staffing Plan, 
• Subcontract information, 
• Organizational Conflict of Interest Plan 
2.4.5 A004 PMR shall include content provided within the SPO-provided template. This 
includes, but is not limited to: 
• Internal (execution) product risks,  
• External (dependency) product risks,  
• Metrics,  
• Organizational structure and projected staffing changes that spans a minimum of a 
30-day forecast,  
• Obligation and expenditure status and forecast,  
• Invoice status,  
• Travel projections, and  
• Bill of materials. 
2.6         Associate Contractor Agreements &amp; Other Agreements 
2.4.6 The Contractor shall enter into ACAs with the contractors listed at Vandenberg Space 
Force Base (VSFB) to support cross-project integration for accomplishment of the SPO’s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CUI 
 CUI 8  
2 Program Management 
2.1 General 
2.1.1 The Contractor shall provide program management and staffing resources necessary to 
plan, manage, direct, control, and report on all activities contributing to requirements 
identified herein. 
2.1.2 The Contractor shall utilize government-furnished communication tools to include, but 
not limited to: Google Electronic Mail (e-mail) (Impact Level (IL)-4 e-mail), Microsoft 
(MS) Teams, Mattermost, Jira, Jira Align, and Confluence. 
2.1.3 The Contractor shall utilize government-furnished common services identified within the 
current Service Description Document managed via the Space C2 Configuration 
Management Board (CMB). Exceptions to use of specified common services shall be 
approved by the Government. 
2.1.4 The Contractor shall maintain awareness of the Space C2 Development Teams 
implementation of a Development, Security, and Operations (DevSecOps) approach as 
managed by the Space C2 CMB. 
2.1.5 The Contractor shall proactively support collaborative root cause analysis and 
incorporate results in future processes, tooling, instrumentation, procedural changes, 
and/or software development to minimize reoccurrence of cyber, operational, and/or 
development disruptions. 
2.1.6 The Contractor shall provide contract status information for SPO management purposes.  
This includes SPO level reviews, executive reviews, independent program reviews and 
assessments, inspections, milestone events, budget excursions, and user conferences. 
2.1.7 The Contractor shall define conditions and process in writing for notifying the SPO of 
significant events to include security violations, cyber/network intrusions, criminal 
investigations, adverse financial and schedule information, and mishap reports regarding 
hardware or personnel. The contractor shall report significant events to the Government 
Lead, or their designee, within 24 hours of the event.  
2.1.8 The Contractor shall notify the Government Lead, or their designee, of Government 
Senior Leadership or other stakeholder program visits as well as program media</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BUSINESS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1. Executive Summary</w:t>
      </w:r>
    </w:p>
    <w:p>
      <w:pPr>
        <w:spacing w:after="120"/>
      </w:pPr>
      <w:r>
        <w:rPr>
          <w:i/>
          <w:iCs/>
          <w:color w:val="404040"/>
          <w:sz w:val="20"/>
          <w:szCs w:val="20"/>
        </w:rPr>
        <w:t xml:space="preserve">High-level overview demonstrating understanding and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2. Technical Approach</w:t>
      </w:r>
    </w:p>
    <w:p>
      <w:pPr>
        <w:spacing w:after="120"/>
      </w:pPr>
      <w:r>
        <w:rPr>
          <w:i/>
          <w:iCs/>
          <w:color w:val="404040"/>
          <w:sz w:val="20"/>
          <w:szCs w:val="20"/>
        </w:rPr>
        <w:t xml:space="preserve">Detailed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3. Management Approach</w:t>
      </w:r>
    </w:p>
    <w:p>
      <w:pPr>
        <w:spacing w:after="120"/>
      </w:pPr>
      <w:r>
        <w:rPr>
          <w:i/>
          <w:iCs/>
          <w:color w:val="404040"/>
          <w:sz w:val="20"/>
          <w:szCs w:val="20"/>
        </w:rPr>
        <w:t xml:space="preserve">Project management, staffing,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4. Past Performance</w:t>
      </w:r>
    </w:p>
    <w:p>
      <w:pPr>
        <w:spacing w:after="120"/>
      </w:pPr>
      <w:r>
        <w:rPr>
          <w:i/>
          <w:iCs/>
          <w:color w:val="404040"/>
          <w:sz w:val="20"/>
          <w:szCs w:val="20"/>
        </w:rPr>
        <w:t xml:space="preserve">Relevant experience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5. Staffing Plan</w:t>
      </w:r>
    </w:p>
    <w:p>
      <w:pPr>
        <w:spacing w:after="120"/>
      </w:pPr>
      <w:r>
        <w:rPr>
          <w:i/>
          <w:iCs/>
          <w:color w:val="404040"/>
          <w:sz w:val="20"/>
          <w:szCs w:val="20"/>
        </w:rPr>
        <w:t xml:space="preserve">Key personnel qualifications and org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24x7 NOC FORP PCO Letter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2025-12-05T18:18:22.933Z</dcterms:created>
  <dcterms:modified xsi:type="dcterms:W3CDTF">2025-12-05T18:18:22.934Z</dcterms:modified>
</cp:coreProperties>
</file>

<file path=docProps/custom.xml><?xml version="1.0" encoding="utf-8"?>
<Properties xmlns="http://schemas.openxmlformats.org/officeDocument/2006/custom-properties" xmlns:vt="http://schemas.openxmlformats.org/officeDocument/2006/docPropsVTypes"/>
</file>