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RFP 75N96025R00004</w:t>
      </w:r>
    </w:p>
    <w:p>
      <w:pPr>
        <w:spacing w:after="200"/>
        <w:jc w:val="center"/>
      </w:pPr>
      <w:r>
        <w:rPr>
          <w:sz w:val="24"/>
          <w:szCs w:val="24"/>
        </w:rPr>
        <w:t xml:space="preserve">Solicitation Number: null</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 And Coordination</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3: Technical Approach And Sample Research Outlines</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4: Key Personnel</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5: Environment – Facilities, Equipment, And Security</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6: Past Performance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 And Coordination, Factor 3: Technical Approach And Sample Research Outlines</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AVAILABLE.</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 V AILABLE.</w:t>
            </w:r>
          </w:p>
          <w:p>
            <w:pPr>
              <w:pStyle w:val="ListParagraph"/>
              <w:numPr>
                <w:ilvl w:val="0"/>
                <w:numId w:val="2"/>
              </w:numPr>
            </w:pPr>
            <w:r>
              <w:rPr>
                <w:i w:val="false"/>
                <w:iCs w:val="false"/>
                <w:color w:val="000000"/>
                <w:sz w:val="20"/>
                <w:szCs w:val="20"/>
              </w:rPr>
              <w:t xml:space="preserve">[REQ] Solicitation Submittal Requirements: The offeror shall provide a minimum of one (1) and 
a maximum of three (3) examples of recent and relevant contract actions to be 
documented through use of Corporate Experience Project Data Form (Attachment 7). 
The offeror shall clearly demonstrate past experience to perform the services described in 
the Statement of Work. Examples submitted shall be recent and relevant contract actions 
that were similar in size (no less than $150,000), scope, and complexity to the 
requirements described in the Statement of Work (SOW) completed within the last five</w:t>
            </w:r>
          </w:p>
          <w:p>
            <w:pPr>
              <w:pStyle w:val="ListParagraph"/>
              <w:numPr>
                <w:ilvl w:val="0"/>
                <w:numId w:val="2"/>
              </w:numPr>
            </w:pPr>
            <w:r>
              <w:rPr>
                <w:i w:val="false"/>
                <w:iCs w:val="false"/>
                <w:color w:val="000000"/>
                <w:sz w:val="20"/>
                <w:szCs w:val="20"/>
              </w:rPr>
              <w:t xml:space="preserve">[REQ] If the Offeror is a Joint Venture (JV), and the JV has shared relevant experience, at least 
one of the relevant projects should be submitted for the JV entity. If the JV does not have 
shared relevant experience, at least one project shall be submitted for each JV partner. If 
a project was performed by a JV, and not all partners from that JV are on the JV proposed 
for this contract, the offeror shall clearly demonstrate what portion of the work was 
performed by the JV partner offering on this contract and shall not include work 
performed by the JV as a whole. If the Offeror does not specifically address what portion</w:t>
            </w:r>
          </w:p>
          <w:p>
            <w:pPr>
              <w:pStyle w:val="ListParagraph"/>
              <w:numPr>
                <w:ilvl w:val="0"/>
                <w:numId w:val="2"/>
              </w:numPr>
            </w:pPr>
            <w:r>
              <w:rPr>
                <w:i w:val="false"/>
                <w:iCs w:val="false"/>
                <w:color w:val="000000"/>
                <w:sz w:val="20"/>
                <w:szCs w:val="20"/>
              </w:rPr>
              <w:t xml:space="preserve">[REQ] 2.4 For Principal Investigator, provide detail on experience in the conduct and 
reporting of toxicology studies using computational and/or alternative 
methods of similar scope, size and complexity and provide selected 
references for publications relevant to the scope of the RFP. The Principal 
Investigator shall be an employee of the contractor and designated as key 
personnel, considered essential to the contract. General qualifications 
expected of a Principal Investigator include: a Doctorate, or the equivalent 
relevant experience in Life Sciences or Chem/Bio-informatics, with 
demonstrated experience in Chem/Bio-informatics and/or Toxicology; 
demonstrated knowledge of toxicology, validation of alternate toxicological 
test methods, and the use of in vitro and in silico testing methods as they 
relate to the assessment of hazard and safety of chemicals and other agents to 
human health as well as the development of adverse outcome pathways and 
integrated approaches to testing and assessment; demonstrated organizational 
and communication skills.</w:t>
            </w:r>
          </w:p>
          <w:p>
            <w:pPr>
              <w:pStyle w:val="ListParagraph"/>
              <w:numPr>
                <w:ilvl w:val="0"/>
                <w:numId w:val="2"/>
              </w:numPr>
            </w:pPr>
            <w:r>
              <w:rPr>
                <w:i w:val="false"/>
                <w:iCs w:val="false"/>
                <w:color w:val="000000"/>
                <w:sz w:val="20"/>
                <w:szCs w:val="20"/>
              </w:rPr>
              <w:t xml:space="preserve">[REQ] Basis of Evaluation: Offeror demonstrates experience in performing work of similar size, 
scope and complexity to this requirement. The assessment of the offeror’s recent and 
relevant experience will be used as a means of evaluating the capability of the offeror to 
successfully meet the requirements of the RFP. At a minimum, the offeror must submit 
contract actions demonstrating experience: 1. Research, Development, and Validation of 
Computational Toxicological Approaches; 2. Research, Development, and Validation of 
Alternative Test Methods; 3. Meeting Support and Event Hosting; and 4. Communication 
Management (to include the following items: website maintenance, database and 
information support, and training support). The Government will review only the first 
three (3) contract actions submitted. Any contract actions submitted in excess of the three</w:t>
            </w:r>
          </w:p>
          <w:p>
            <w:pPr>
              <w:pStyle w:val="ListParagraph"/>
              <w:numPr>
                <w:ilvl w:val="0"/>
                <w:numId w:val="2"/>
              </w:numPr>
            </w:pPr>
            <w:r>
              <w:rPr>
                <w:i w:val="false"/>
                <w:iCs w:val="false"/>
                <w:color w:val="000000"/>
                <w:sz w:val="20"/>
                <w:szCs w:val="20"/>
              </w:rPr>
              <w:t xml:space="preserve">[REQ] Relevant experience performed by the Offeror as a prime contractor may be considered 
more favorably than experience performed by the Offeror as a subcontractor.</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 And Coordination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Factor 2, Program and Project Management and Coordination</w:t>
            </w:r>
          </w:p>
          <w:p>
            <w:pPr>
              <w:pStyle w:val="ListParagraph"/>
              <w:numPr>
                <w:ilvl w:val="0"/>
                <w:numId w:val="2"/>
              </w:numPr>
            </w:pPr>
            <w:r>
              <w:rPr>
                <w:i w:val="false"/>
                <w:iCs w:val="false"/>
                <w:color w:val="000000"/>
                <w:sz w:val="20"/>
                <w:szCs w:val="20"/>
              </w:rPr>
              <w:t xml:space="preserve">[REQ] ANSWER:  It is generally expected that any proposed subcontractors submit a complete cost 
proposal in the same format as the offeror’ s cost proposal [ATTACHMENT 11 – Business 
Proposal Template] to the prime offeror for inclusion with the prime offeror’ s Business Proposal 
(see RFP page 93, item 1.9.f. under Factor 2, Program and Project Management and 
Coordination).  
  If, in particular instances, a proposed subcontractor insists that some specific cost 
 information cannot be shared with the prime offeror, that particular proposed subcontractor 
 may contact the Contracting Officer directly (jason.williams2@nih.gov)  to request a secure</w:t>
            </w:r>
          </w:p>
          <w:p>
            <w:pPr>
              <w:pStyle w:val="ListParagraph"/>
              <w:numPr>
                <w:ilvl w:val="0"/>
                <w:numId w:val="2"/>
              </w:numPr>
            </w:pPr>
            <w:r>
              <w:rPr>
                <w:i w:val="false"/>
                <w:iCs w:val="false"/>
                <w:color w:val="000000"/>
                <w:sz w:val="20"/>
                <w:szCs w:val="20"/>
              </w:rPr>
              <w:t xml:space="preserve">[REQ] RFP pages 93-94, Article L.4.B.2.(2)(i) – Factor 2 – Program and Project Management and 
Coordination --  On page 93, the RFP requests a 2-page description for each Key Personnel to be 
included in the proposal body.  On page 94, 2.4 [For PI provide…] and 2.5 [For PM provide…] 
call for additional detail for the PI and PM respectively.  Would the Government please confirm 
that the descriptions required in 2.4 and 2.5 should be presented separately from the content 
provided in 2.1 and that this content does not count toward the 2-page limit per personnel set 
forth in 2.1 [Provide a description for each personnel]?</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RFP page 111, Section M Evaluation Factors for Award, Factor 2 Program and Project 
Management and Coordination, item i.2. Principal Investigator and Program Manager, last 
sentence – The evaluation criteria for the PM state: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By scientific review and 
evaluation, do you mean NAMs activities?</w:t>
            </w:r>
          </w:p>
          <w:p>
            <w:pPr>
              <w:pStyle w:val="ListParagraph"/>
              <w:numPr>
                <w:ilvl w:val="0"/>
                <w:numId w:val="2"/>
              </w:numPr>
            </w:pPr>
            <w:r>
              <w:rPr>
                <w:i w:val="false"/>
                <w:iCs w:val="false"/>
                <w:color w:val="000000"/>
                <w:sz w:val="20"/>
                <w:szCs w:val="20"/>
              </w:rPr>
              <w:t xml:space="preserve">[REQ] Management Plan and Approach: Appropriateness of the proposed approach 
to program and quality management strategy, including: functional organization 
chart; Quality Management Plan; management of staff, experience of staff 
working together as a team, and communication between the project staff and 
Government staff; details of project scope; scheduling and monitoring of 
progress; relevancy of corporate experience in projects of similar size, scope and 
complexity; evaluation of the offeror’s flexibility to perform various 
multidisciplinary assignments; adequacy of details for arrangement and oversight 
for any proposed subcontractors/consultants.</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DELIVERABLE REFERENCE DUE/FREQUENCY SUBMIT TO 
Quality Management 
Plan 
Section 
1.6.1.1 
Revise as needed or when major 
changes occur 
COR, CO, and CS 
Monthly Status Reports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SEC-F3. Factor 3: Technical Approach And Sample Research Outlines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94, Article L.4.B.2(3)(i) – Technical Proposal Factor 3 – Technical Approach and 
Sample Research Outlines – The RFP states “The response to Research Outline 7 should not 
include detail but focus on the thought process in developing a research program to meet the 
described objectives”.  Please provide additional clarity on “the thought process in developing a 
research plan”.</w:t>
            </w:r>
          </w:p>
          <w:p>
            <w:pPr>
              <w:pStyle w:val="ListParagraph"/>
              <w:numPr>
                <w:ilvl w:val="0"/>
                <w:numId w:val="2"/>
              </w:numPr>
            </w:pPr>
            <w:r>
              <w:rPr>
                <w:i w:val="false"/>
                <w:iCs w:val="false"/>
                <w:color w:val="000000"/>
                <w:sz w:val="20"/>
                <w:szCs w:val="20"/>
              </w:rPr>
              <w:t xml:space="preserve">[REQ] Factor 3, Technical Approach and Sample Research Outlines</w:t>
            </w:r>
          </w:p>
          <w:p>
            <w:pPr>
              <w:pStyle w:val="ListParagraph"/>
              <w:numPr>
                <w:ilvl w:val="0"/>
                <w:numId w:val="2"/>
              </w:numPr>
            </w:pPr>
            <w:r>
              <w:rPr>
                <w:i w:val="false"/>
                <w:iCs w:val="false"/>
                <w:color w:val="000000"/>
                <w:sz w:val="20"/>
                <w:szCs w:val="20"/>
              </w:rPr>
              <w:t xml:space="preserve">[REQ] New approach methodologies (NAMs) broadly refer to any in silico, in chemico, in vitro, and ex 
vivo technology, methodology, approach, and/or combination thereof, that can provide 
information on chemical and non-chemical hazard and risk assessment while supporting the 
3Rs (replacement, reduction, and refinement of animal studies). Top areas of research focus in 
the evolving NIEHS Strategic Plan include “Developing and building confidence in human-based 
new approach methods”. Related efforts in implementing suitable computational and 
alternative methods for toxicological research have been carried out by DTT/NIEHS scientists in 
support of developing and applying innovative approaches to predict human-relevant health</w:t>
            </w:r>
          </w:p>
          <w:p>
            <w:pPr>
              <w:pStyle w:val="ListParagraph"/>
              <w:numPr>
                <w:ilvl w:val="0"/>
                <w:numId w:val="2"/>
              </w:numPr>
            </w:pPr>
            <w:r>
              <w:rPr>
                <w:i w:val="false"/>
                <w:iCs w:val="false"/>
                <w:color w:val="000000"/>
                <w:sz w:val="20"/>
                <w:szCs w:val="20"/>
              </w:rPr>
              <w:t xml:space="preserve">[REQ] Overall Technical Approach: Appropriateness and feasibility of the 
demonstrated technical approach, including overall strategy, methodologies, 
analyses, technologies, and services, including those that are novel or innovative; 
technical capability in the conduct of toxicological testing using computational 
and alternative methods; including all aspects of the work performed by 
contractor staff and any proposed subcontractors or consultants. Appropriateness 
of the demonstrated understanding of the approach, analysis of the information 
provided in the Sample Research Outlines. Appropriateness of the identification 
of potential problems and solutions, and alternative strategies.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ATTACHMENT 2, RFP 75N96025R00004 
 36 
must follow the HHS EPLC framework and methodology and in accordance with the 
HHS Contract Closeout Directive (2018) located at:  
https://oamp.od.nih.gov/sites/default/files/DGS/contracting-forms/HHS-Closeout-
Directive-2018.pdf . HHS EA requirements are located at: 
https://www.hhs.gov/web/governance/digital-strategy/it-policy-archive/hhs-policy-
for-enterprise-architecture.html  and NIH EA requirements are located at: 
https://ocio.nih.gov/PM/Pages/EPLC.aspx .</w:t>
            </w:r>
          </w:p>
          <w:p>
            <w:pPr>
              <w:pStyle w:val="ListParagraph"/>
              <w:numPr>
                <w:ilvl w:val="0"/>
                <w:numId w:val="2"/>
              </w:numPr>
            </w:pPr>
            <w:r>
              <w:rPr>
                <w:i w:val="false"/>
                <w:iCs w:val="false"/>
                <w:color w:val="000000"/>
                <w:sz w:val="20"/>
                <w:szCs w:val="20"/>
              </w:rPr>
              <w:t xml:space="preserve">[REQ] WCAG Conformance Information – The answers in the WCAG success criteria 
are based on the level of conformance being reported (Level A, AA or AAA).  
• These tables are used to answer: 
• Revised Section 508: 
 Chapter 5 Software 
 Chapter 6 Support Documentation 
• T he selected levels of WCAG 2.0 Guidelines. 
• If using a summary table, due to answers applying to multiple criteria, when 
answering for the Revised Section 508, the answers need to be clear about 
which individual criteria the answer applies to. It is possible to either use a 
summary, selecting the worst case for the criteria, or to have separate 
answers or even tables for software, support documentation, authoring tools, 
etc., so long as the methodology used is made clear.</w:t>
            </w:r>
          </w:p>
          <w:p>
            <w:pPr>
              <w:pStyle w:val="ListParagraph"/>
              <w:numPr>
                <w:ilvl w:val="0"/>
                <w:numId w:val="2"/>
              </w:numPr>
            </w:pPr>
            <w:r>
              <w:rPr>
                <w:i w:val="false"/>
                <w:iCs w:val="false"/>
                <w:color w:val="000000"/>
                <w:sz w:val="20"/>
                <w:szCs w:val="20"/>
              </w:rPr>
              <w:t xml:space="preserve">[REQ] The proposal must be prepared in two parts: a "Technical Proposal" and a "Business Proposal." Each of 
the parts shall be separate and complete in itself so that evaluation of one may be accomplished 
independently of, and concurrently with, evaluation of the other. The technical proposal must include 
direct cost and resources information, such as labor-hours and categories and applicable rates, materials, 
subcontracts, travel, etc., and associated costs so that the offeror's understanding of the project may be 
evaluated (See SECTION J, Attachment entitled, TECHNICAL PROPOSAL COST SUMMARY.) 
However, the technical proposal should not include pricing data relating to individual salary information, 
indirect cost rates or amounts, fee amounts (if any), and total costs. The technical proposal should 
disclose your technical approach in as much detail as possible, including, but not limited to, the 
requirements of the technical proposal instructions.</w:t>
            </w:r>
          </w:p>
          <w:p>
            <w:pPr>
              <w:pStyle w:val="ListParagraph"/>
              <w:numPr>
                <w:ilvl w:val="0"/>
                <w:numId w:val="2"/>
              </w:numPr>
            </w:pPr>
            <w:r>
              <w:rPr>
                <w:i w:val="false"/>
                <w:iCs w:val="false"/>
                <w:color w:val="000000"/>
                <w:sz w:val="20"/>
                <w:szCs w:val="20"/>
              </w:rPr>
              <w:t xml:space="preserve">[REQ] Solicitation Submittal Requirements: The criteria described here apply to both the 
overall technical approach as demonstrated in response to the SOW and the required 
capabilities, in addition to proposals for the specific requirements outlined in each of 
the Sample Research Outlines (Attachment 6). The responses to Research Outlines 
1- 6 should be very detailed and describe how all aspects of the work would be</w:t>
            </w:r>
          </w:p>
          <w:p>
            <w:pPr>
              <w:pStyle w:val="ListParagraph"/>
              <w:numPr>
                <w:ilvl w:val="0"/>
                <w:numId w:val="2"/>
              </w:numPr>
            </w:pPr>
            <w:r>
              <w:rPr>
                <w:i w:val="false"/>
                <w:iCs w:val="false"/>
                <w:color w:val="000000"/>
                <w:sz w:val="20"/>
                <w:szCs w:val="20"/>
              </w:rPr>
              <w:t xml:space="preserve">[REQ] All cost proposals will be evaluated on the basis of cost realism analysis for the anticipated cost 
 plus fixed fee type contract.  Therefore, if an offeror is proposing  notably less overall effort than 
 the effort estimates provided in the RFP an offeror must demonstrate in their proposal that all 
 anticipated work can indeed be  performed with less overall effort in accordance with their 
 unique technical approach.  This is to ensure a fair evaluation of cost proposals (and to not give 
 any competitive advantage to unrealistic “low ball” offers as this will be a cost reimbursement-
 type contract whereby the Government assumes the risk of a cost overrun).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SEC-F4. Factor 4: Key Personnel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p>
            <w:pPr>
              <w:pStyle w:val="ListParagraph"/>
              <w:numPr>
                <w:ilvl w:val="0"/>
                <w:numId w:val="2"/>
              </w:numPr>
            </w:pPr>
            <w:r>
              <w:rPr>
                <w:i w:val="false"/>
                <w:iCs w:val="false"/>
                <w:color w:val="000000"/>
                <w:sz w:val="20"/>
                <w:szCs w:val="20"/>
              </w:rPr>
              <w:t xml:space="preserve">[REQ] RFP page 96, Article L.4.B.2(4)(i) – Technical Proposal Factor 4 – Personnel item 1.3 
Biographical sketches – For ease of reference, would the Government permit offerors to include 
all Biographical Sketches within a single Appendix?  If not, please clarify where the Biographical 
Sketches for Key Personnel should be included.  Both Factor 2 and Factor 4 refer to Biographical 
Sketches for Key Personnel.</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1.9.1 Professional Personnel 
The Key Personnel (Principal Investigator and Program Manager) must be approved by the CO 
and shall be employees of the prime Contract organization and members of the professional</w:t>
            </w:r>
          </w:p>
          <w:p>
            <w:pPr>
              <w:pStyle w:val="ListParagraph"/>
              <w:numPr>
                <w:ilvl w:val="0"/>
                <w:numId w:val="2"/>
              </w:numPr>
            </w:pPr>
            <w:r>
              <w:rPr>
                <w:i w:val="false"/>
                <w:iCs w:val="false"/>
                <w:color w:val="000000"/>
                <w:sz w:val="20"/>
                <w:szCs w:val="20"/>
              </w:rPr>
              <w:t xml:space="preserve">[REQ] personnel with an individual with equal or better capability. The replacement of 
key personnel should only occur under circumstances where the Offeror can 
demonstrate a compelling reason for such substitution, and any proposed 
replacements must meet the qualifications and standards specified in the original</w:t>
            </w:r>
          </w:p>
          <w:p>
            <w:pPr>
              <w:pStyle w:val="ListParagraph"/>
              <w:numPr>
                <w:ilvl w:val="0"/>
                <w:numId w:val="2"/>
              </w:numPr>
            </w:pPr>
            <w:r>
              <w:rPr>
                <w:i w:val="false"/>
                <w:iCs w:val="false"/>
                <w:color w:val="000000"/>
                <w:sz w:val="20"/>
                <w:szCs w:val="20"/>
              </w:rPr>
              <w:t xml:space="preserve">[REQ] As part of the Technical Proposal addressing Factor 4 – Personnel (see Section L 
 Technical Proposal Instructions pages 95-97), offerors will identify all personnel  described and 
 their specific duties and availability to the program (percent time/hours).</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ANSWER:  Factor 2 shall include biographical sketches for PI and PM while Factor 4 shall 
include biographical sketches for professional and technical personnel.</w:t>
            </w:r>
          </w:p>
          <w:p>
            <w:pPr>
              <w:pStyle w:val="ListParagraph"/>
              <w:numPr>
                <w:ilvl w:val="0"/>
                <w:numId w:val="2"/>
              </w:numPr>
            </w:pPr>
            <w:r>
              <w:rPr>
                <w:i w:val="false"/>
                <w:iCs w:val="false"/>
                <w:color w:val="000000"/>
                <w:sz w:val="20"/>
                <w:szCs w:val="20"/>
              </w:rPr>
              <w:t xml:space="preserve">[REQ] Principal Investigator and Program Manager: Appropriateness of the 
education, training, experience, scientific expertise, competency, and 
accomplishments of the proposed Principal Investigator (as demonstrated in the 
biographical sketch) familiar with in the management and coordination of 
multidisciplinary projects leading to the validation of alternative toxicological 
test methods, as well as demonstrated ability to analyze large disparate data sets 
and integrate in vivo, in vitro and in silico data into novel testing methods; 
proposed specific duties, effort on, and availability to the program.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proposed specific duties, effort on, and availability to the program.</w:t>
            </w:r>
          </w:p>
          <w:p>
            <w:pPr>
              <w:pStyle w:val="ListParagraph"/>
              <w:numPr>
                <w:ilvl w:val="0"/>
                <w:numId w:val="2"/>
              </w:numPr>
            </w:pPr>
            <w:r>
              <w:rPr>
                <w:i w:val="false"/>
                <w:iCs w:val="false"/>
                <w:color w:val="000000"/>
                <w:sz w:val="20"/>
                <w:szCs w:val="20"/>
              </w:rPr>
              <w:t xml:space="preserve">[REQ] ATTACHMENT 2, RFP 75N96025R00004 
 9
1.9 Personnel 
This contract requires a high degree of collaboration between Contractor staff, especially 
among the Principal Investigator (PI)/Program Manager (PM), toxicologists, computational 
toxicologists, toxicology data analysts, and chem/bio-informaticists. Each requirement 
described in this SOW shall be performed by an appropriate mix of professional, technical, and 
clerical staff. Contract personnel shall have the expertise to contribute to problem formulation 
and study design as required. Personnel assigned to this contract, including subcontractors 
and/or consultants, shall demonstrate to the COR that there are no conflicts of interest relative 
to the work to be performed prior to conducting work under the contract. Personnel assigned 
to this contract with access to federal IT resources may be required to pass a security 
investigation (Section 4).</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SEC-F5. Factor 5: Environment – Facilities, Equipment, And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Factor 5, Environment – Facilities, Equipment, and Security</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ANSWER:  It is confirmed that the offeror’ s draft Information Technology Security Plan should be 
 featured as an appendix to Factor 5 only.   The reference to the Information Technology 
 Security Plan at the end of paragraph (2)(i) on RFP page 92 is hereby deleted via this RFP 
 Amendment 2.</w:t>
            </w:r>
          </w:p>
          <w:p>
            <w:pPr>
              <w:pStyle w:val="ListParagraph"/>
              <w:numPr>
                <w:ilvl w:val="0"/>
                <w:numId w:val="2"/>
              </w:numPr>
            </w:pPr>
            <w:r>
              <w:rPr>
                <w:i w:val="false"/>
                <w:iCs w:val="false"/>
                <w:color w:val="000000"/>
                <w:sz w:val="20"/>
                <w:szCs w:val="20"/>
              </w:rPr>
              <w:t xml:space="preserve">[REQ] For selected projects, if development and/or qualification efforts cannot be accomplished 
through the primary Contractor, the Contractor shall propose to the COR qualified laboratories 
to conduct validation testing under a subcontract mechanism and present them to the CO and 
COR for approval (Section 3.3). The Contractor shall be responsible for ensuring that the 
qualification study facilities and equipment meet all qualification requirements, including 
adherence to identified protocols, and that appropriate laboratory experience is available at 
the facility. The Contractor shall ensure that no institutional or individual conflict of interest 
(COI) issues exist for the coordination and/or selection of the laboratories participating in the 
qualification studies. No whole mammal or avian studies will be conducted under this contract, 
including by subcontractor.</w:t>
            </w:r>
          </w:p>
          <w:p>
            <w:pPr>
              <w:pStyle w:val="ListParagraph"/>
              <w:numPr>
                <w:ilvl w:val="0"/>
                <w:numId w:val="2"/>
              </w:numPr>
            </w:pPr>
            <w:r>
              <w:rPr>
                <w:i w:val="false"/>
                <w:iCs w:val="false"/>
                <w:color w:val="000000"/>
                <w:sz w:val="20"/>
                <w:szCs w:val="20"/>
              </w:rPr>
              <w:t xml:space="preserve">[REQ] 5.2 Equipment and Software 
The Contractor is required to supply all equipment, property, and services needed to fulfill the 
SOW that are not explicitly specified as being provided by the Government. These materials 
include but are not limited to computers, printers, phones, Microsoft Office, Web-based 
conferencing software, and Adobe Acrobat Professional (for Section 508 compliance). 
Equipment such as computers and printers shall support Internet and Intranet connections, be 
compatible with NIH computer operating systems, and comply with NIH security policies. The 
Contractor shall conform to security requirements or usability guidelines as appropriate.</w:t>
            </w:r>
          </w:p>
          <w:p>
            <w:pPr>
              <w:pStyle w:val="ListParagraph"/>
              <w:numPr>
                <w:ilvl w:val="0"/>
                <w:numId w:val="2"/>
              </w:numPr>
            </w:pPr>
            <w:r>
              <w:rPr>
                <w:i w:val="false"/>
                <w:iCs w:val="false"/>
                <w:color w:val="000000"/>
                <w:sz w:val="20"/>
                <w:szCs w:val="20"/>
              </w:rPr>
              <w:t xml:space="preserve">[REQ] At any tier handling or accessing information, consent to and allow the 
Government, or an independent third party working at the Government's 
direction, without notice at any time during a weekday during regular 
business hours Contractor local time, to access Contractor and subcontractor 
installations, facilities, infrastructure, data centers, equipment (including but 
not limited to all servers, computing devices, and portable media), operations, 
documentation (whether in electronic, paper, or other forms), databases, and 
personnel which are used in performance of the contract.</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In addition to the reports mentioned herein, any incidence or unforeseeable occurrence not 
listed here, including physical modifications to the laboratory facilities and personnel changes 
which may impact study conduct, shall be immediately reported to the Government.</w:t>
            </w:r>
          </w:p>
          <w:p>
            <w:pPr>
              <w:pStyle w:val="ListParagraph"/>
              <w:numPr>
                <w:ilvl w:val="0"/>
                <w:numId w:val="2"/>
              </w:numPr>
            </w:pPr>
            <w:r>
              <w:rPr>
                <w:i w:val="false"/>
                <w:iCs w:val="false"/>
                <w:color w:val="000000"/>
                <w:sz w:val="20"/>
                <w:szCs w:val="20"/>
              </w:rPr>
              <w:t xml:space="preserve">[REQ] Contract staff shall obtain and present to the COR appropriate security clearances (e.g., 
Homeland Security Presidential Directive 12, [HSPD-12])9 and onboarding trainings prior to 
accessing Federal Government information technology (IT) resources. Contract staff who 
require access shall obtain NIEHS security badges, an NIH account, and comply with HHS OCIO 
policy8 for connecting to the NIEHS IT resources. Contract staff shall also complete all annual 
refresher training associated with the use of an NIH account in a timely manner.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SEC-F6. Factor 6: Past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
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SUBARTICLE L.4.B.2. Technical Proposals, Technical Factors, Factor 6 Past Performance</w:t>
            </w:r>
          </w:p>
          <w:p>
            <w:pPr>
              <w:pStyle w:val="ListParagraph"/>
              <w:numPr>
                <w:ilvl w:val="0"/>
                <w:numId w:val="2"/>
              </w:numPr>
            </w:pPr>
            <w:r>
              <w:rPr>
                <w:i w:val="false"/>
                <w:iCs w:val="false"/>
                <w:color w:val="000000"/>
                <w:sz w:val="20"/>
                <w:szCs w:val="20"/>
              </w:rPr>
              <w:t xml:space="preserve">[REQ] The following Point of Contact information is corrected as follows in Sub-Article L.4.B.2. “Technical Factors”, 
Factor 6 Past Performance:  [page 98 of RFP]</w:t>
            </w:r>
          </w:p>
          <w:p>
            <w:pPr>
              <w:pStyle w:val="ListParagraph"/>
              <w:numPr>
                <w:ilvl w:val="0"/>
                <w:numId w:val="2"/>
              </w:numPr>
            </w:pPr>
            <w:r>
              <w:rPr>
                <w:i w:val="false"/>
                <w:iCs w:val="false"/>
                <w:color w:val="000000"/>
                <w:sz w:val="20"/>
                <w:szCs w:val="20"/>
              </w:rPr>
              <w:t xml:space="preserve">[REQ] The third is to establish the overall quality of the offeror’s past performance. Recency is 
generally expressed as a time period during which past performance references are considered relevant, 
and is critical to establishing the relevancy of past performance information.  In establishing what is 
relevant for the acquisition, consideration should be given to those aspects of an offeror’s contract history 
that would give the greatest ability to measure whether the offeror will satisfy the current procurement.  
Common aspects of relevancy include, but are not limited to, the following:  similarity of service/support, 
complexity, dollar value, contract type, use of key personnel (for services) and extent of 
subcontract/teaming. The third aspect of the past performance evaluation is to establish the overall quality 
of the offeror’s past performance (see FAR 15.304[c][2]). The past performance evaluation conducted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  A separate 
quality assessment rating is not required; rather, the past performance rating using the confidence 
assessment rating, is based on the offeror’s overall record of recency, relevancy, and quality of</w:t>
            </w:r>
          </w:p>
          <w:p>
            <w:pPr>
              <w:pStyle w:val="ListParagraph"/>
              <w:numPr>
                <w:ilvl w:val="0"/>
                <w:numId w:val="2"/>
              </w:numPr>
            </w:pPr>
            <w:r>
              <w:rPr>
                <w:i w:val="false"/>
                <w:iCs w:val="false"/>
                <w:color w:val="000000"/>
                <w:sz w:val="20"/>
                <w:szCs w:val="20"/>
              </w:rPr>
              <w:t xml:space="preserve">[REQ] If the client requests, questionnaires may be submitted directly to the 
Government's point of contact, Megan Bang, via email at megan.bang@nih.gov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IF A CPARS EV ALUATION IS NOT A V AILABLE, ensure correct phone numbers and email 
addresses are provided for the client point of contact. Completed PPQs should be submitted with 
your proposal. If the offeror is unable to obtain a completed PPQ from a client for a project(s) 
before proposal closing date, the offeror should complete and submit with the proposal the first 
page of the PPQ (Attachment 9), which will provide contract and client information for the 
respective contract(s). Offerors should follow-up with clients/references to ensure timely submittal 
of questionnaires. If the client requests, questionnaires may be submitted directly to the 
Government's point of contact, Jason Williams [changed from Megan Bang], via email at 
jason.williams2@nih.gov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There are three aspects to the past performance evaluation: recency, relevancy (including context of 
data), and quality (including general trends in contractor performance and source of information).</w:t>
            </w:r>
          </w:p>
          <w:p>
            <w:pPr>
              <w:pStyle w:val="ListParagraph"/>
              <w:numPr>
                <w:ilvl w:val="0"/>
                <w:numId w:val="2"/>
              </w:numPr>
            </w:pPr>
            <w:r>
              <w:rPr>
                <w:i w:val="false"/>
                <w:iCs w:val="false"/>
                <w:color w:val="000000"/>
                <w:sz w:val="20"/>
                <w:szCs w:val="20"/>
              </w:rPr>
              <w:t xml:space="preserve">[REQ] Past Performance Relevancy Rating Method 
Adjectival Rating Description 
Very Relevant Present/past performance effort involved essentially the same scope and 
magnitude of effort and complexities this solicitation requires. 
Relevant Present/past performance effort involved similar scope and magnitude of 
effort and complexities this solicitation requires. 
Somewhat Relevant Present/past performance effort involved some of the scope and magnitude of 
effort and complexities this solicitation requires. 
Not Relevant Present/past performance effort involved little or none of the scope and 
magnitude of effort and complexities this solicitation requires.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RFP 75N96025R00004 -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2025-12-03T01:27:06.944Z</dcterms:created>
  <dcterms:modified xsi:type="dcterms:W3CDTF">2025-12-03T01:27:06.954Z</dcterms:modified>
</cp:coreProperties>
</file>

<file path=docProps/custom.xml><?xml version="1.0" encoding="utf-8"?>
<Properties xmlns="http://schemas.openxmlformats.org/officeDocument/2006/custom-properties" xmlns:vt="http://schemas.openxmlformats.org/officeDocument/2006/docPropsVTypes"/>
</file>