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procedures in providing written objection to the use of non-government advisors.</w:t>
      </w:r>
    </w:p>
    <w:p>
      <w:pPr>
        <w:spacing w:after="200"/>
        <w:jc w:val="center"/>
      </w:pPr>
      <w:r>
        <w:rPr>
          <w:sz w:val="24"/>
          <w:szCs w:val="24"/>
        </w:rPr>
        <w:t xml:space="preserve">Solicitation Number: TBD</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Electronic submission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Times 
New Roman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pPr>
        <w:pStyle w:val="Heading2"/>
      </w:pPr>
      <w:r>
        <w:rPr>
          <w:color w:val="C00000"/>
        </w:rPr>
        <w:t xml:space="preserve">⚠️ P0 CONSTRAINTS - DISQUALIFICATION RISKS</w:t>
      </w:r>
    </w:p>
    <w:p>
      <w:pPr>
        <w:pBdr>
          <w:left w:val="single" w:color="C00000" w:sz="12"/>
        </w:pBdr>
        <w:shd w:fill="FCE4D6" w:val="clear"/>
        <w:spacing w:after="120"/>
        <w:ind w:left="180"/>
      </w:pPr>
      <w:r>
        <w:rPr>
          <w:b/>
          <w:bCs/>
          <w:color w:val="C00000"/>
          <w:sz w:val="22"/>
          <w:szCs w:val="22"/>
        </w:rPr>
        <w:t xml:space="preserve">CRITICAL: The following constraints are Pass/Fail. Violation of ANY P0 constraint may result in proposal rejection without further evaluation.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00"/>
        <w:gridCol w:w="2560"/>
      </w:tblGrid>
      <w:tr>
        <w:trPr>
          <w:tblHeader/>
        </w:trPr>
        <w:tc>
          <w:tcPr>
            <w:tcW w:type="dxa" w:w="15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Type</w:t>
            </w:r>
          </w:p>
        </w:tc>
        <w:tc>
          <w:tcPr>
            <w:tcW w:type="dxa" w:w="35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Constraint</w:t>
            </w:r>
          </w:p>
        </w:tc>
        <w:tc>
          <w:tcPr>
            <w:tcW w:type="dxa" w:w="18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Applies To</w:t>
            </w:r>
          </w:p>
        </w:tc>
        <w:tc>
          <w:tcPr>
            <w:tcW w:type="dxa" w:w="256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Consequence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pPr>
        <w:pStyle w:val="Heading2"/>
      </w:pPr>
      <w:r>
        <w:t xml:space="preserve">Adjectival Rating Definitions</w:t>
      </w:r>
    </w:p>
    <w:p>
      <w:pPr>
        <w:spacing w:after="120"/>
      </w:pPr>
      <w:r>
        <w:rPr>
          <w:color w:val="0070C0"/>
          <w:sz w:val="20"/>
          <w:szCs w:val="20"/>
        </w:rPr>
        <w:t xml:space="preserve">Understanding the rating scale is essential for targeting Exceptional ratings on key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70C0" w:sz="1"/>
              <w:left w:val="single" w:color="0070C0" w:sz="1"/>
              <w:bottom w:val="single" w:color="0070C0" w:sz="1"/>
              <w:right w:val="single" w:color="0070C0" w:sz="1"/>
            </w:tcBorders>
            <w:shd w:fill="0070C0" w:val="clear"/>
          </w:tcPr>
          <w:p>
            <w:r>
              <w:rPr>
                <w:b/>
                <w:bCs/>
                <w:color w:val="FFFFFF"/>
                <w:sz w:val="20"/>
                <w:szCs w:val="20"/>
              </w:rPr>
              <w:t xml:space="preserve">Rating</w:t>
            </w:r>
          </w:p>
        </w:tc>
        <w:tc>
          <w:tcPr>
            <w:tcW w:type="dxa" w:w="7360"/>
            <w:tcBorders>
              <w:top w:val="single" w:color="0070C0" w:sz="1"/>
              <w:left w:val="single" w:color="0070C0" w:sz="1"/>
              <w:bottom w:val="single" w:color="0070C0" w:sz="1"/>
              <w:right w:val="single" w:color="0070C0" w:sz="1"/>
            </w:tcBorders>
            <w:shd w:fill="0070C0" w:val="clear"/>
          </w:tcPr>
          <w:p>
            <w:r>
              <w:rPr>
                <w:b/>
                <w:bCs/>
                <w:color w:val="FFFFFF"/>
                <w:sz w:val="20"/>
                <w:szCs w:val="20"/>
              </w:rPr>
              <w:t xml:space="preserve">Definition</w:t>
            </w:r>
          </w:p>
        </w:tc>
      </w:tr>
      <w:tr>
        <w:tc>
          <w:tcPr>
            <w:tcW w:type="dxa" w:w="2000"/>
            <w:tcBorders>
              <w:top w:val="single" w:color="0070C0" w:sz="1"/>
              <w:left w:val="single" w:color="0070C0" w:sz="1"/>
              <w:bottom w:val="single" w:color="0070C0" w:sz="1"/>
              <w:right w:val="single" w:color="0070C0" w:sz="1"/>
            </w:tcBorders>
          </w:tcPr>
          <w:p>
            <w:r>
              <w:rPr>
                <w:b/>
                <w:bCs/>
                <w:color w:val="00B050"/>
                <w:sz w:val="20"/>
                <w:szCs w:val="20"/>
              </w:rPr>
              <w:t xml:space="preserve">Exceptional</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exceeds minimum requirements, contains multiple strengths and raises government confidence that the Offeror is capable of exceeding expectations.</w:t>
            </w:r>
          </w:p>
        </w:tc>
      </w:tr>
      <w:tr>
        <w:tc>
          <w:tcPr>
            <w:tcW w:type="dxa" w:w="2000"/>
            <w:tcBorders>
              <w:top w:val="single" w:color="0070C0" w:sz="1"/>
              <w:left w:val="single" w:color="0070C0" w:sz="1"/>
              <w:bottom w:val="single" w:color="0070C0" w:sz="1"/>
              <w:right w:val="single" w:color="0070C0" w:sz="1"/>
            </w:tcBorders>
          </w:tcPr>
          <w:p>
            <w:r>
              <w:rPr>
                <w:b/>
                <w:bCs/>
                <w:color w:val="92D050"/>
                <w:sz w:val="20"/>
                <w:szCs w:val="20"/>
              </w:rPr>
              <w:t xml:space="preserve">Very Good</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exceeds minimum requirements, contains at least one strength and raises government confidence that the Offeror is capable of exceeding expectations.</w:t>
            </w:r>
          </w:p>
        </w:tc>
      </w:tr>
      <w:tr>
        <w:tc>
          <w:tcPr>
            <w:tcW w:type="dxa" w:w="2000"/>
            <w:tcBorders>
              <w:top w:val="single" w:color="0070C0" w:sz="1"/>
              <w:left w:val="single" w:color="0070C0" w:sz="1"/>
              <w:bottom w:val="single" w:color="0070C0" w:sz="1"/>
              <w:right w:val="single" w:color="0070C0" w:sz="1"/>
            </w:tcBorders>
          </w:tcPr>
          <w:p>
            <w:r>
              <w:rPr>
                <w:b/>
                <w:bCs/>
                <w:color w:val="FFC000"/>
                <w:sz w:val="20"/>
                <w:szCs w:val="20"/>
              </w:rPr>
              <w:t xml:space="preserve">Good</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meets the minimum requirements of the solicitation and/or raises government confidence that the Offeror is capable of meeting expectations.</w:t>
            </w:r>
          </w:p>
        </w:tc>
      </w:tr>
      <w:tr>
        <w:tc>
          <w:tcPr>
            <w:tcW w:type="dxa" w:w="2000"/>
            <w:tcBorders>
              <w:top w:val="single" w:color="0070C0" w:sz="1"/>
              <w:left w:val="single" w:color="0070C0" w:sz="1"/>
              <w:bottom w:val="single" w:color="0070C0" w:sz="1"/>
              <w:right w:val="single" w:color="0070C0" w:sz="1"/>
            </w:tcBorders>
          </w:tcPr>
          <w:p>
            <w:r>
              <w:rPr>
                <w:b/>
                <w:bCs/>
                <w:color w:val="C00000"/>
                <w:sz w:val="20"/>
                <w:szCs w:val="20"/>
              </w:rPr>
              <w:t xml:space="preserve">Unacceptable</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does not clearly meet the minimum requirements of the solicitation and/or lowers government confidence that the Offeror is capable of meeting expectations.</w:t>
            </w:r>
          </w:p>
        </w:tc>
      </w:tr>
    </w:tbl>
    <w:p>
      <w:pPr>
        <w:spacing w:after="200"/>
      </w:pP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 7 
1.3 Sub Factor 2: Infrastructure Approach ....................................................</w:t>
            </w:r>
          </w:p>
          <w:p>
            <w:pPr>
              <w:pStyle w:val="ListParagraph"/>
              <w:numPr>
                <w:ilvl w:val="0"/>
                <w:numId w:val="2"/>
              </w:numPr>
            </w:pPr>
            <w:r>
              <w:rPr>
                <w:i w:val="false"/>
                <w:iCs w:val="false"/>
                <w:color w:val="000000"/>
                <w:sz w:val="20"/>
                <w:szCs w:val="20"/>
              </w:rPr>
              <w:t xml:space="preserve">Cost &amp; Price Volume ........................................................................................................................... 8 
2.1 Criteria 1: Supply Pricing for 24x7 Network Operations Center ........................................................... 9 
2.2 Criteria 2:  Labor Rate Compliance ............................................................................................... 10</w:t>
            </w:r>
          </w:p>
          <w:p>
            <w:pPr>
              <w:pStyle w:val="ListParagraph"/>
              <w:numPr>
                <w:ilvl w:val="0"/>
                <w:numId w:val="2"/>
              </w:numPr>
            </w:pPr>
            <w:r>
              <w:rPr>
                <w:i w:val="false"/>
                <w:iCs w:val="false"/>
                <w:color w:val="000000"/>
                <w:sz w:val="20"/>
                <w:szCs w:val="20"/>
              </w:rPr>
              <w:t xml:space="preserve">Contract Documentation Volume ................................................................................................... 10 
3.1 Evidence of Online Representation and Certifications Application ............................................... 11 
3.2 SF1449 ........................................................................................................................................... 11 
3.3 Draft DD Form 254 .......................................................................</w:t>
            </w:r>
          </w:p>
          <w:p>
            <w:pPr>
              <w:pStyle w:val="ListParagraph"/>
              <w:numPr>
                <w:ilvl w:val="0"/>
                <w:numId w:val="2"/>
              </w:numPr>
            </w:pPr>
            <w:r>
              <w:rPr>
                <w:i w:val="false"/>
                <w:iCs w:val="false"/>
                <w:color w:val="000000"/>
                <w:sz w:val="20"/>
                <w:szCs w:val="20"/>
              </w:rPr>
              <w:t xml:space="preserve">This supply delivery order solicitation complies with Federal Acquisition Regulation Part 
16.505.  This is a competitive solicitation that uses the tradeoff methodology which allows the 
Government to award to other than the lowest priced offeror or other than the highest technically 
rated offeror.  Delivery order award will be made based on the proposal that offers the best value 
to the Government relative to the minimum technical requirements established in these</w:t>
            </w:r>
          </w:p>
          <w:p>
            <w:pPr>
              <w:pStyle w:val="ListParagraph"/>
              <w:numPr>
                <w:ilvl w:val="0"/>
                <w:numId w:val="2"/>
              </w:numPr>
            </w:pPr>
            <w:r>
              <w:rPr>
                <w:i w:val="false"/>
                <w:iCs w:val="false"/>
                <w:color w:val="000000"/>
                <w:sz w:val="20"/>
                <w:szCs w:val="20"/>
              </w:rPr>
              <w:t xml:space="preserve">The technical subfactors are more important than cost/price criteria.  Within the Technical 
Factor, Management Support (SF1) is more important than Infrastructure Approach (SF2).  
Within the Cost/Price Volume, all criteria are evaluated equally.  An “unacceptable” rating for 
any single technical sub factor will make an Offeror ineligible for award.  A “non-compliant” 
rating for any price criteria will make an Offeror ineligible for award.</w:t>
            </w:r>
          </w:p>
          <w:p>
            <w:pPr>
              <w:pStyle w:val="ListParagraph"/>
              <w:numPr>
                <w:ilvl w:val="0"/>
                <w:numId w:val="2"/>
              </w:numPr>
            </w:pPr>
            <w:r>
              <w:rPr>
                <w:i w:val="false"/>
                <w:iCs w:val="false"/>
                <w:color w:val="000000"/>
                <w:sz w:val="20"/>
                <w:szCs w:val="20"/>
              </w:rPr>
              <w:t xml:space="preserve">Technical           Cost/Price   
Evaluation weighting formula:          SF1 &gt; SF2      &gt;&gt;           (Criteria 1 = Criteria 2 = Criteria 3)</w:t>
            </w:r>
          </w:p>
          <w:p>
            <w:pPr>
              <w:pStyle w:val="ListParagraph"/>
              <w:numPr>
                <w:ilvl w:val="0"/>
                <w:numId w:val="2"/>
              </w:numPr>
            </w:pPr>
            <w:r>
              <w:rPr>
                <w:i w:val="false"/>
                <w:iCs w:val="false"/>
                <w:color w:val="000000"/>
                <w:sz w:val="20"/>
                <w:szCs w:val="20"/>
              </w:rPr>
              <w:t xml:space="preserve">Proposal Submittal 
Submission of a proposal constitutes acknowledgement and agreement to the terms and 
conditions of this solicitation, to include instructions in the attachments.  Late proposals may 
make an Offeror ineligible for award.  This solicitation requires the use of a government 
managed secure file transfer system.  Email and physical submissions are not acceptable.  
Offerors should allow adequate time with consideration to resolve technical issues that may</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w:t>
            </w:r>
          </w:p>
          <w:p>
            <w:pPr>
              <w:pStyle w:val="ListParagraph"/>
              <w:numPr>
                <w:ilvl w:val="0"/>
                <w:numId w:val="2"/>
              </w:numPr>
            </w:pPr>
            <w:r>
              <w:rPr>
                <w:i w:val="false"/>
                <w:iCs w:val="false"/>
                <w:color w:val="000000"/>
                <w:sz w:val="20"/>
                <w:szCs w:val="20"/>
              </w:rPr>
              <w:t xml:space="preserve">At this time, the Government intends to make award based on the initial proposal submissions 
without conducting interchanges, Therefore, each offer should contain the Offeror’s best terms 
from a price and technical standpoint.</w:t>
            </w:r>
          </w:p>
          <w:p>
            <w:pPr>
              <w:pStyle w:val="ListParagraph"/>
              <w:numPr>
                <w:ilvl w:val="0"/>
                <w:numId w:val="2"/>
              </w:numPr>
            </w:pPr>
            <w:r>
              <w:rPr>
                <w:i w:val="false"/>
                <w:iCs w:val="false"/>
                <w:color w:val="000000"/>
                <w:sz w:val="20"/>
                <w:szCs w:val="20"/>
              </w:rPr>
              <w:t xml:space="preserve">Proposal Format 
Proposals shall be submitted to the Government in separate volumes as set forth below.</w:t>
            </w:r>
          </w:p>
          <w:p>
            <w:pPr>
              <w:pStyle w:val="ListParagraph"/>
              <w:numPr>
                <w:ilvl w:val="0"/>
                <w:numId w:val="2"/>
              </w:numPr>
            </w:pPr>
            <w:r>
              <w:rPr>
                <w:i w:val="false"/>
                <w:iCs w:val="false"/>
                <w:color w:val="000000"/>
                <w:sz w:val="20"/>
                <w:szCs w:val="20"/>
              </w:rPr>
              <w:t xml:space="preserve">Volume Title 
Description 
Page Limit Included in Page 
Count (Y/N/NA)</w:t>
            </w:r>
          </w:p>
          <w:p>
            <w:pPr>
              <w:pStyle w:val="ListParagraph"/>
              <w:numPr>
                <w:ilvl w:val="0"/>
                <w:numId w:val="2"/>
              </w:numPr>
            </w:pPr>
            <w:r>
              <w:rPr>
                <w:i w:val="false"/>
                <w:iCs w:val="false"/>
                <w:color w:val="000000"/>
                <w:sz w:val="20"/>
                <w:szCs w:val="20"/>
              </w:rPr>
              <w:t xml:space="preserve">1 Technical 8 Pages  
 Executive Summary 1 Y 
SF 1 Management Approach 10 Y 
SF 2 Infrastructure Approach 10 Y 
2 Cost &amp; Price None  
Criteria 1 Supply Pricing 24/7 NOC None 
NA 
Criteria 2 Labor Rate Compliance None NA 
Criteria 3 Contract Documentation None  
Table 1</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w:t>
            </w:r>
          </w:p>
          <w:p>
            <w:pPr>
              <w:pStyle w:val="ListParagraph"/>
              <w:numPr>
                <w:ilvl w:val="0"/>
                <w:numId w:val="2"/>
              </w:numPr>
            </w:pPr>
            <w:r>
              <w:rPr>
                <w:i w:val="false"/>
                <w:iCs w:val="false"/>
                <w:color w:val="000000"/>
                <w:sz w:val="20"/>
                <w:szCs w:val="20"/>
              </w:rPr>
              <w:t xml:space="preserve">The Government will evaluate proposals based on the technical sub factors identified</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Technical Rating: 
Exceptional – Proposal clearly exceeds minimum requirements, contains multiple strengths and raises 
government confidence that the Offeror is capable of exceeding expectations.</w:t>
            </w:r>
          </w:p>
          <w:p>
            <w:pPr>
              <w:pStyle w:val="ListParagraph"/>
              <w:numPr>
                <w:ilvl w:val="0"/>
                <w:numId w:val="2"/>
              </w:numPr>
            </w:pPr>
            <w:r>
              <w:rPr>
                <w:i w:val="false"/>
                <w:iCs w:val="false"/>
                <w:color w:val="000000"/>
                <w:sz w:val="20"/>
                <w:szCs w:val="20"/>
              </w:rPr>
              <w:t xml:space="preserve">Evaluation: Any summary material presented here shall not be considered as meeting the 
requirements for any portions of other volumes of the proposal.</w:t>
            </w:r>
          </w:p>
          <w:p>
            <w:pPr>
              <w:pStyle w:val="ListParagraph"/>
              <w:numPr>
                <w:ilvl w:val="0"/>
                <w:numId w:val="2"/>
              </w:numPr>
            </w:pPr>
            <w:r>
              <w:rPr>
                <w:i w:val="false"/>
                <w:iCs w:val="false"/>
                <w:color w:val="000000"/>
                <w:sz w:val="20"/>
                <w:szCs w:val="20"/>
              </w:rPr>
              <w:t xml:space="preserve">Evaluation: The proposed technical solution and all documentation will be evaluated for meeting 
the Government’s requirement (subjective).  The Offeror’s proposed organization structure and 
staffing will be evaluated on the capability to effect and achieve the requirements stated in the 
PWS.  The Government may assign strengths for exceeding the staffing requirements or 
identifying opportunities for automation (technical rating / Strength / Risk).</w:t>
            </w:r>
          </w:p>
          <w:p>
            <w:pPr>
              <w:pStyle w:val="ListParagraph"/>
              <w:numPr>
                <w:ilvl w:val="0"/>
                <w:numId w:val="2"/>
              </w:numPr>
            </w:pPr>
            <w:r>
              <w:rPr>
                <w:i w:val="false"/>
                <w:iCs w:val="false"/>
                <w:color w:val="000000"/>
                <w:sz w:val="20"/>
                <w:szCs w:val="20"/>
              </w:rPr>
              <w:t xml:space="preserve">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Cost &amp; Price Volume 
The Cost/Price volume should be specific and complete. Readability, clarity, and coherence are 
very important.  The offeror’s Cost/Price proposal will be evaluated via a cost analysis, in order 
to determine if the overall price is fair and reasonable.  Using the instructions provided below, 
provide as specifically as possible the actual methodology used to develop the cost/price</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 
Cost/Price 
Factor 
Criteria 1 Supply Pricing for 24x7 Network Operations 
Center  
Compliant/Non-
Compliant, 
Strength, Risk 
Criteria 2 Labor Rate Compliance Compliant/Non-Compliant</w:t>
            </w:r>
          </w:p>
          <w:p>
            <w:pPr>
              <w:pStyle w:val="ListParagraph"/>
              <w:numPr>
                <w:ilvl w:val="0"/>
                <w:numId w:val="2"/>
              </w:numPr>
            </w:pPr>
            <w:r>
              <w:rPr>
                <w:i w:val="false"/>
                <w:iCs w:val="false"/>
                <w:color w:val="000000"/>
                <w:sz w:val="20"/>
                <w:szCs w:val="20"/>
              </w:rPr>
              <w:t xml:space="preserve">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w:t>
            </w:r>
          </w:p>
          <w:p>
            <w:pPr>
              <w:pStyle w:val="ListParagraph"/>
              <w:numPr>
                <w:ilvl w:val="0"/>
                <w:numId w:val="2"/>
              </w:numPr>
            </w:pPr>
            <w:r>
              <w:rPr>
                <w:i w:val="false"/>
                <w:iCs w:val="false"/>
                <w:color w:val="000000"/>
                <w:sz w:val="20"/>
                <w:szCs w:val="20"/>
              </w:rPr>
              <w:t xml:space="preserve">Evaluation: The proposed summary of cost/price reflects the information included in the 
cost/price volume.  The milestone payment plan is fair and realistic based on approach in the 
technical volume approach.  The offeror provides explanation on how Cost/Price Factor criteria 
compliance is met and has complied with all Criteria instructions (Compliant/Non-Compliant, 
Risk, Strength).</w:t>
            </w:r>
          </w:p>
          <w:p>
            <w:pPr>
              <w:pStyle w:val="ListParagraph"/>
              <w:numPr>
                <w:ilvl w:val="0"/>
                <w:numId w:val="2"/>
              </w:numPr>
            </w:pPr>
            <w:r>
              <w:rPr>
                <w:i w:val="false"/>
                <w:iCs w:val="false"/>
                <w:color w:val="000000"/>
                <w:sz w:val="20"/>
                <w:szCs w:val="20"/>
              </w:rPr>
              <w:t xml:space="preserve">Instruction:  The cost volume shall include detailed basis for the cost estimate showing at least 
the following information, as applicable; labor hours and costs for direct labor, indirect labor, 
materials, travel, other direct costs (identify components making up other direct costs), and 
profit/fee.  Provide adequate explanation for each proposed cost element.</w:t>
            </w:r>
          </w:p>
          <w:p>
            <w:pPr>
              <w:pStyle w:val="ListParagraph"/>
              <w:numPr>
                <w:ilvl w:val="0"/>
                <w:numId w:val="2"/>
              </w:numPr>
            </w:pPr>
            <w:r>
              <w:rPr>
                <w:i w:val="false"/>
                <w:iCs w:val="false"/>
                <w:color w:val="000000"/>
                <w:sz w:val="20"/>
                <w:szCs w:val="20"/>
              </w:rPr>
              <w:t xml:space="preserve">Instruction:  The cost/price volume shall be structured for 24x7 NOC support as a supply where 
each element in the Technical Volume is identified, costed/priced, and provide traceability to the 
baseline software needs identified in Annex 1 KM Baseline Description.  The cost/price volume 
will be put on contract and used to price future changes to the baseline through the SSC/BCC 
Change Management Board (CMB) as increased or decreased supply.  The offeror shall provide 
instructions on how the...</w:t>
            </w:r>
          </w:p>
          <w:p>
            <w:pPr>
              <w:pStyle w:val="ListParagraph"/>
              <w:numPr>
                <w:ilvl w:val="0"/>
                <w:numId w:val="2"/>
              </w:numPr>
            </w:pPr>
            <w:r>
              <w:rPr>
                <w:i w:val="false"/>
                <w:iCs w:val="false"/>
                <w:color w:val="000000"/>
                <w:sz w:val="20"/>
                <w:szCs w:val="20"/>
              </w:rPr>
              <w:t xml:space="preserve">Evaluation:  The proposed cost/price volume provides identification of each element in the 
technical volume appropriately mapped to baseline requirements in the KM Baseline Description 
and adequate instructions on how to use the volume to model the 24x7 NOC support offering 
(Compliant/Non-Compliant, Risk, Strength).</w:t>
            </w:r>
          </w:p>
          <w:p>
            <w:pPr>
              <w:pStyle w:val="ListParagraph"/>
              <w:numPr>
                <w:ilvl w:val="0"/>
                <w:numId w:val="2"/>
              </w:numPr>
            </w:pPr>
            <w:r>
              <w:rPr>
                <w:i w:val="false"/>
                <w:iCs w:val="false"/>
                <w:color w:val="000000"/>
                <w:sz w:val="20"/>
                <w:szCs w:val="20"/>
              </w:rPr>
              <w:t xml:space="preserve">Provide an electronic, working Excel spreadsheet of your cost element summary (e.g.  Volume 2 
– Cost Proposal), which is linked to all tabs in the Excel spreadsheet, with all support 
documentation, plus traceability to the basis for your cost (e.g.  Volume 1 – Technical Proposal).</w:t>
            </w:r>
          </w:p>
          <w:p>
            <w:pPr>
              <w:pStyle w:val="ListParagraph"/>
              <w:numPr>
                <w:ilvl w:val="0"/>
                <w:numId w:val="2"/>
              </w:numPr>
            </w:pPr>
            <w:r>
              <w:rPr>
                <w:i w:val="false"/>
                <w:iCs w:val="false"/>
                <w:color w:val="000000"/>
                <w:sz w:val="20"/>
                <w:szCs w:val="20"/>
              </w:rPr>
              <w:t xml:space="preserve">Contract Documentation Volume 
Offerors shall provide the following information identified below.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 7 
1.3 Sub Factor 2: Infrastructure Approach ....................................................</w:t>
            </w:r>
          </w:p>
          <w:p>
            <w:pPr>
              <w:pStyle w:val="ListParagraph"/>
              <w:numPr>
                <w:ilvl w:val="0"/>
                <w:numId w:val="2"/>
              </w:numPr>
            </w:pPr>
            <w:r>
              <w:rPr>
                <w:i w:val="false"/>
                <w:iCs w:val="false"/>
                <w:color w:val="000000"/>
                <w:sz w:val="20"/>
                <w:szCs w:val="20"/>
              </w:rPr>
              <w:t xml:space="preserve">Cost &amp; Price Volume ........................................................................................................................... 8 
2.1 Criteria 1: Supply Pricing for 24x7 Network Operations Center ........................................................... 9 
2.2 Criteria 2:  Labor Rate Compliance ............................................................................................... 10</w:t>
            </w:r>
          </w:p>
          <w:p>
            <w:pPr>
              <w:pStyle w:val="ListParagraph"/>
              <w:numPr>
                <w:ilvl w:val="0"/>
                <w:numId w:val="2"/>
              </w:numPr>
            </w:pPr>
            <w:r>
              <w:rPr>
                <w:i w:val="false"/>
                <w:iCs w:val="false"/>
                <w:color w:val="000000"/>
                <w:sz w:val="20"/>
                <w:szCs w:val="20"/>
              </w:rPr>
              <w:t xml:space="preserve">Contract Documentation Volume ................................................................................................... 10 
3.1 Evidence of Online Representation and Certifications Application ............................................... 11 
3.2 SF1449 ........................................................................................................................................... 11 
3.3 Draft DD Form 254 .......................................................................</w:t>
            </w:r>
          </w:p>
          <w:p>
            <w:pPr>
              <w:pStyle w:val="ListParagraph"/>
              <w:numPr>
                <w:ilvl w:val="0"/>
                <w:numId w:val="2"/>
              </w:numPr>
            </w:pPr>
            <w:r>
              <w:rPr>
                <w:i w:val="false"/>
                <w:iCs w:val="false"/>
                <w:color w:val="000000"/>
                <w:sz w:val="20"/>
                <w:szCs w:val="20"/>
              </w:rPr>
              <w:t xml:space="preserve">This supply delivery order solicitation complies with Federal Acquisition Regulation Part 
16.505.  This is a competitive solicitation that uses the tradeoff methodology which allows the 
Government to award to other than the lowest priced offeror or other than the highest technically 
rated offeror.  Delivery order award will be made based on the proposal that offers the best value 
to the Government relative to the minimum technical requirements established in these</w:t>
            </w:r>
          </w:p>
          <w:p>
            <w:pPr>
              <w:pStyle w:val="ListParagraph"/>
              <w:numPr>
                <w:ilvl w:val="0"/>
                <w:numId w:val="2"/>
              </w:numPr>
            </w:pPr>
            <w:r>
              <w:rPr>
                <w:i w:val="false"/>
                <w:iCs w:val="false"/>
                <w:color w:val="000000"/>
                <w:sz w:val="20"/>
                <w:szCs w:val="20"/>
              </w:rPr>
              <w:t xml:space="preserve">The technical subfactors are more important than cost/price criteria.  Within the Technical 
Factor, Management Support (SF1) is more important than Infrastructure Approach (SF2).  
Within the Cost/Price Volume, all criteria are evaluated equally.  An “unacceptable” rating for 
any single technical sub factor will make an Offeror ineligible for award.  A “non-compliant” 
rating for any price criteria will make an Offeror ineligible for award.</w:t>
            </w:r>
          </w:p>
          <w:p>
            <w:pPr>
              <w:pStyle w:val="ListParagraph"/>
              <w:numPr>
                <w:ilvl w:val="0"/>
                <w:numId w:val="2"/>
              </w:numPr>
            </w:pPr>
            <w:r>
              <w:rPr>
                <w:i w:val="false"/>
                <w:iCs w:val="false"/>
                <w:color w:val="000000"/>
                <w:sz w:val="20"/>
                <w:szCs w:val="20"/>
              </w:rPr>
              <w:t xml:space="preserve">Technical           Cost/Price   
Evaluation weighting formula:          SF1 &gt; SF2      &gt;&gt;           (Criteria 1 = Criteria 2 = Criteria 3)</w:t>
            </w:r>
          </w:p>
          <w:p>
            <w:pPr>
              <w:pStyle w:val="ListParagraph"/>
              <w:numPr>
                <w:ilvl w:val="0"/>
                <w:numId w:val="2"/>
              </w:numPr>
            </w:pPr>
            <w:r>
              <w:rPr>
                <w:i w:val="false"/>
                <w:iCs w:val="false"/>
                <w:color w:val="000000"/>
                <w:sz w:val="20"/>
                <w:szCs w:val="20"/>
              </w:rPr>
              <w:t xml:space="preserve">Proposal Submittal 
Submission of a proposal constitutes acknowledgement and agreement to the terms and 
conditions of this solicitation, to include instructions in the attachments.  Late proposals may 
make an Offeror ineligible for award.  This solicitation requires the use of a government 
managed secure file transfer system.  Email and physical submissions are not acceptable.  
Offerors should allow adequate time with consideration to resolve technical issues that may</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w:t>
            </w:r>
          </w:p>
          <w:p>
            <w:pPr>
              <w:pStyle w:val="ListParagraph"/>
              <w:numPr>
                <w:ilvl w:val="0"/>
                <w:numId w:val="2"/>
              </w:numPr>
            </w:pPr>
            <w:r>
              <w:rPr>
                <w:i w:val="false"/>
                <w:iCs w:val="false"/>
                <w:color w:val="000000"/>
                <w:sz w:val="20"/>
                <w:szCs w:val="20"/>
              </w:rPr>
              <w:t xml:space="preserve">At this time, the Government intends to make award based on the initial proposal submissions 
without conducting interchanges, Therefore, each offer should contain the Offeror’s best terms 
from a price and technical standpoint.</w:t>
            </w:r>
          </w:p>
          <w:p>
            <w:pPr>
              <w:pStyle w:val="ListParagraph"/>
              <w:numPr>
                <w:ilvl w:val="0"/>
                <w:numId w:val="2"/>
              </w:numPr>
            </w:pPr>
            <w:r>
              <w:rPr>
                <w:i w:val="false"/>
                <w:iCs w:val="false"/>
                <w:color w:val="000000"/>
                <w:sz w:val="20"/>
                <w:szCs w:val="20"/>
              </w:rPr>
              <w:t xml:space="preserve">Proposal Format 
Proposals shall be submitted to the Government in separate volumes as set forth below.</w:t>
            </w:r>
          </w:p>
          <w:p>
            <w:pPr>
              <w:pStyle w:val="ListParagraph"/>
              <w:numPr>
                <w:ilvl w:val="0"/>
                <w:numId w:val="2"/>
              </w:numPr>
            </w:pPr>
            <w:r>
              <w:rPr>
                <w:i w:val="false"/>
                <w:iCs w:val="false"/>
                <w:color w:val="000000"/>
                <w:sz w:val="20"/>
                <w:szCs w:val="20"/>
              </w:rPr>
              <w:t xml:space="preserve">Volume Title 
Description 
Page Limit Included in Page 
Count (Y/N/NA)</w:t>
            </w:r>
          </w:p>
          <w:p>
            <w:pPr>
              <w:pStyle w:val="ListParagraph"/>
              <w:numPr>
                <w:ilvl w:val="0"/>
                <w:numId w:val="2"/>
              </w:numPr>
            </w:pPr>
            <w:r>
              <w:rPr>
                <w:i w:val="false"/>
                <w:iCs w:val="false"/>
                <w:color w:val="000000"/>
                <w:sz w:val="20"/>
                <w:szCs w:val="20"/>
              </w:rPr>
              <w:t xml:space="preserve">1 Technical 8 Pages  
 Executive Summary 1 Y 
SF 1 Management Approach 10 Y 
SF 2 Infrastructure Approach 10 Y 
2 Cost &amp; Price None  
Criteria 1 Supply Pricing 24/7 NOC None 
NA 
Criteria 2 Labor Rate Compliance None NA 
Criteria 3 Contract Documentation None  
Table 1</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w:t>
            </w:r>
          </w:p>
          <w:p>
            <w:pPr>
              <w:pStyle w:val="ListParagraph"/>
              <w:numPr>
                <w:ilvl w:val="0"/>
                <w:numId w:val="2"/>
              </w:numPr>
            </w:pPr>
            <w:r>
              <w:rPr>
                <w:i w:val="false"/>
                <w:iCs w:val="false"/>
                <w:color w:val="000000"/>
                <w:sz w:val="20"/>
                <w:szCs w:val="20"/>
              </w:rPr>
              <w:t xml:space="preserve">The Government will evaluate proposals based on the technical sub factors identified</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Technical Rating: 
Exceptional – Proposal clearly exceeds minimum requirements, contains multiple strengths and raises 
government confidence that the Offeror is capable of exceeding expectations.</w:t>
            </w:r>
          </w:p>
          <w:p>
            <w:pPr>
              <w:pStyle w:val="ListParagraph"/>
              <w:numPr>
                <w:ilvl w:val="0"/>
                <w:numId w:val="2"/>
              </w:numPr>
            </w:pPr>
            <w:r>
              <w:rPr>
                <w:i w:val="false"/>
                <w:iCs w:val="false"/>
                <w:color w:val="000000"/>
                <w:sz w:val="20"/>
                <w:szCs w:val="20"/>
              </w:rPr>
              <w:t xml:space="preserve">Evaluation: Any summary material presented here shall not be considered as meeting the 
requirements for any portions of other volumes of the proposal.</w:t>
            </w:r>
          </w:p>
          <w:p>
            <w:pPr>
              <w:pStyle w:val="ListParagraph"/>
              <w:numPr>
                <w:ilvl w:val="0"/>
                <w:numId w:val="2"/>
              </w:numPr>
            </w:pPr>
            <w:r>
              <w:rPr>
                <w:i w:val="false"/>
                <w:iCs w:val="false"/>
                <w:color w:val="000000"/>
                <w:sz w:val="20"/>
                <w:szCs w:val="20"/>
              </w:rPr>
              <w:t xml:space="preserve">Evaluation: The proposed technical solution and all documentation will be evaluated for meeting 
the Government’s requirement (subjective).  The Offeror’s proposed organization structure and 
staffing will be evaluated on the capability to effect and achieve the requirements stated in the 
PWS.  The Government may assign strengths for exceeding the staffing requirements or 
identifying opportunities for automation (technical rating / Strength / Risk).</w:t>
            </w:r>
          </w:p>
          <w:p>
            <w:pPr>
              <w:pStyle w:val="ListParagraph"/>
              <w:numPr>
                <w:ilvl w:val="0"/>
                <w:numId w:val="2"/>
              </w:numPr>
            </w:pPr>
            <w:r>
              <w:rPr>
                <w:i w:val="false"/>
                <w:iCs w:val="false"/>
                <w:color w:val="000000"/>
                <w:sz w:val="20"/>
                <w:szCs w:val="20"/>
              </w:rPr>
              <w:t xml:space="preserve">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Cost &amp; Price Volume 
The Cost/Price volume should be specific and complete. Readability, clarity, and coherence are 
very important.  The offeror’s Cost/Price proposal will be evaluated via a cost analysis, in order 
to determine if the overall price is fair and reasonable.  Using the instructions provided below, 
provide as specifically as possible the actual methodology used to develop the cost/price</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 
Cost/Price 
Factor 
Criteria 1 Supply Pricing for 24x7 Network Operations 
Center  
Compliant/Non-
Compliant, 
Strength, Risk 
Criteria 2 Labor Rate Compliance Compliant/Non-Compliant</w:t>
            </w:r>
          </w:p>
          <w:p>
            <w:pPr>
              <w:pStyle w:val="ListParagraph"/>
              <w:numPr>
                <w:ilvl w:val="0"/>
                <w:numId w:val="2"/>
              </w:numPr>
            </w:pPr>
            <w:r>
              <w:rPr>
                <w:i w:val="false"/>
                <w:iCs w:val="false"/>
                <w:color w:val="000000"/>
                <w:sz w:val="20"/>
                <w:szCs w:val="20"/>
              </w:rPr>
              <w:t xml:space="preserve">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w:t>
            </w:r>
          </w:p>
          <w:p>
            <w:pPr>
              <w:pStyle w:val="ListParagraph"/>
              <w:numPr>
                <w:ilvl w:val="0"/>
                <w:numId w:val="2"/>
              </w:numPr>
            </w:pPr>
            <w:r>
              <w:rPr>
                <w:i w:val="false"/>
                <w:iCs w:val="false"/>
                <w:color w:val="000000"/>
                <w:sz w:val="20"/>
                <w:szCs w:val="20"/>
              </w:rPr>
              <w:t xml:space="preserve">Evaluation: The proposed summary of cost/price reflects the information included in the 
cost/price volume.  The milestone payment plan is fair and realistic based on approach in the 
technical volume approach.  The offeror provides explanation on how Cost/Price Factor criteria 
compliance is met and has complied with all Criteria instructions (Compliant/Non-Compliant, 
Risk, Strength).</w:t>
            </w:r>
          </w:p>
          <w:p>
            <w:pPr>
              <w:pStyle w:val="ListParagraph"/>
              <w:numPr>
                <w:ilvl w:val="0"/>
                <w:numId w:val="2"/>
              </w:numPr>
            </w:pPr>
            <w:r>
              <w:rPr>
                <w:i w:val="false"/>
                <w:iCs w:val="false"/>
                <w:color w:val="000000"/>
                <w:sz w:val="20"/>
                <w:szCs w:val="20"/>
              </w:rPr>
              <w:t xml:space="preserve">Instruction:  The cost volume shall include detailed basis for the cost estimate showing at least 
the following information, as applicable; labor hours and costs for direct labor, indirect labor, 
materials, travel, other direct costs (identify components making up other direct costs), and 
profit/fee.  Provide adequate explanation for each proposed cost element.</w:t>
            </w:r>
          </w:p>
          <w:p>
            <w:pPr>
              <w:pStyle w:val="ListParagraph"/>
              <w:numPr>
                <w:ilvl w:val="0"/>
                <w:numId w:val="2"/>
              </w:numPr>
            </w:pPr>
            <w:r>
              <w:rPr>
                <w:i w:val="false"/>
                <w:iCs w:val="false"/>
                <w:color w:val="000000"/>
                <w:sz w:val="20"/>
                <w:szCs w:val="20"/>
              </w:rPr>
              <w:t xml:space="preserve">Instruction:  The cost/price volume shall be structured for 24x7 NOC support as a supply where 
each element in the Technical Volume is identified, costed/priced, and provide traceability to the 
baseline software needs identified in Annex 1 KM Baseline Description.  The cost/price volume 
will be put on contract and used to price future changes to the baseline through the SSC/BCC 
Change Management Board (CMB) as increased or decreased supply.  The offeror shall provide 
instructions on how the...</w:t>
            </w:r>
          </w:p>
          <w:p>
            <w:pPr>
              <w:pStyle w:val="ListParagraph"/>
              <w:numPr>
                <w:ilvl w:val="0"/>
                <w:numId w:val="2"/>
              </w:numPr>
            </w:pPr>
            <w:r>
              <w:rPr>
                <w:i w:val="false"/>
                <w:iCs w:val="false"/>
                <w:color w:val="000000"/>
                <w:sz w:val="20"/>
                <w:szCs w:val="20"/>
              </w:rPr>
              <w:t xml:space="preserve">Evaluation:  The proposed cost/price volume provides identification of each element in the 
technical volume appropriately mapped to baseline requirements in the KM Baseline Description 
and adequate instructions on how to use the volume to model the 24x7 NOC support offering 
(Compliant/Non-Compliant, Risk, Strength).</w:t>
            </w:r>
          </w:p>
          <w:p>
            <w:pPr>
              <w:pStyle w:val="ListParagraph"/>
              <w:numPr>
                <w:ilvl w:val="0"/>
                <w:numId w:val="2"/>
              </w:numPr>
            </w:pPr>
            <w:r>
              <w:rPr>
                <w:i w:val="false"/>
                <w:iCs w:val="false"/>
                <w:color w:val="000000"/>
                <w:sz w:val="20"/>
                <w:szCs w:val="20"/>
              </w:rPr>
              <w:t xml:space="preserve">Provide an electronic, working Excel spreadsheet of your cost element summary (e.g.  Volume 2 
– Cost Proposal), which is linked to all tabs in the Excel spreadsheet, with all support 
documentation, plus traceability to the basis for your cost (e.g.  Volume 1 – Technical Proposal).</w:t>
            </w:r>
          </w:p>
          <w:p>
            <w:pPr>
              <w:pStyle w:val="ListParagraph"/>
              <w:numPr>
                <w:ilvl w:val="0"/>
                <w:numId w:val="2"/>
              </w:numPr>
            </w:pPr>
            <w:r>
              <w:rPr>
                <w:i w:val="false"/>
                <w:iCs w:val="false"/>
                <w:color w:val="000000"/>
                <w:sz w:val="20"/>
                <w:szCs w:val="20"/>
              </w:rPr>
              <w:t xml:space="preserve">Contract Documentation Volume 
Offerors shall provide the following information identified below.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 Sheet: CLIN 000X Travel Estimate ===
** Create a breakout of projected travel and ODC costs which will be linked to the appropriate tab
include links to environments and environment agnostic/independent tabs |  |  |  |  |  |  | 
Platform Team | # People | # Days | Location | Event | Cost/person | Total Cost | 
24x7 Support team | 2 | 5 | Vandenberg SFB, CA | Quarterly Program Incrementals | 25...</w:t>
            </w:r>
          </w:p>
          <w:p>
            <w:pPr>
              <w:pStyle w:val="ListParagraph"/>
              <w:numPr>
                <w:ilvl w:val="0"/>
                <w:numId w:val="2"/>
              </w:numPr>
            </w:pPr>
            <w:r>
              <w:rPr>
                <w:i w:val="false"/>
                <w:iCs w:val="false"/>
                <w:color w:val="000000"/>
                <w:sz w:val="20"/>
                <w:szCs w:val="20"/>
              </w:rPr>
              <w:t xml:space="preserve">CUI 
 CUI 4  
Table of Contents 
1 Introduction ............................................................................................................................. 5 
2 Program Management .............................................................................................................. 8 
2.1 General ...............................................................................</w:t>
            </w:r>
          </w:p>
          <w:p>
            <w:pPr>
              <w:pStyle w:val="ListParagraph"/>
              <w:numPr>
                <w:ilvl w:val="0"/>
                <w:numId w:val="2"/>
              </w:numPr>
            </w:pPr>
            <w:r>
              <w:rPr>
                <w:i w:val="false"/>
                <w:iCs w:val="false"/>
                <w:color w:val="000000"/>
                <w:sz w:val="20"/>
                <w:szCs w:val="20"/>
              </w:rPr>
              <w:t xml:space="preserve">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w:t>
            </w:r>
          </w:p>
          <w:p>
            <w:pPr>
              <w:pStyle w:val="ListParagraph"/>
              <w:numPr>
                <w:ilvl w:val="0"/>
                <w:numId w:val="2"/>
              </w:numPr>
            </w:pPr>
            <w:r>
              <w:rPr>
                <w:i w:val="false"/>
                <w:iCs w:val="false"/>
                <w:color w:val="000000"/>
                <w:sz w:val="20"/>
                <w:szCs w:val="20"/>
              </w:rPr>
              <w:t xml:space="preserve">The contractor shall report events within 48 hours of identification or within 
24 hours of the event, whichever comes sooner.  
2.1.9 The Contractor shall establish necessary subcontracts and ensure the flow down of 
Intellectual Property assertions, Program Management requirements, and Personnel and 
Staffing requirements. The Contractor shall ensure that subcontractor data available to 
the Con...</w:t>
            </w:r>
          </w:p>
          <w:p>
            <w:pPr>
              <w:pStyle w:val="ListParagraph"/>
              <w:numPr>
                <w:ilvl w:val="0"/>
                <w:numId w:val="2"/>
              </w:numPr>
            </w:pPr>
            <w:r>
              <w:rPr>
                <w:i w:val="false"/>
                <w:iCs w:val="false"/>
                <w:color w:val="000000"/>
                <w:sz w:val="20"/>
                <w:szCs w:val="20"/>
              </w:rPr>
              <w:t xml:space="preserve">This includes, but is not limited to, changes to product resourcing, 
security, interfaces (i.e., connections, data, messaging), commercial tooling, and any 
major product revisions. 
2.2.5 The Contractor shall provide weekly activity reports summarizing key milestones, 
activities, and operational benefits (e.g., removed X-hours of manual tasks with 
automated function).   
2.3 Meeting Support an...</w:t>
            </w:r>
          </w:p>
          <w:p>
            <w:pPr>
              <w:pStyle w:val="ListParagraph"/>
              <w:numPr>
                <w:ilvl w:val="0"/>
                <w:numId w:val="2"/>
              </w:numPr>
            </w:pPr>
            <w:r>
              <w:rPr>
                <w:i w:val="false"/>
                <w:iCs w:val="false"/>
                <w:color w:val="000000"/>
                <w:sz w:val="20"/>
                <w:szCs w:val="20"/>
              </w:rPr>
              <w:t xml:space="preserve">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w:t>
            </w:r>
          </w:p>
          <w:p>
            <w:pPr>
              <w:pStyle w:val="ListParagraph"/>
              <w:numPr>
                <w:ilvl w:val="0"/>
                <w:numId w:val="2"/>
              </w:numPr>
            </w:pPr>
            <w:r>
              <w:rPr>
                <w:i w:val="false"/>
                <w:iCs w:val="false"/>
                <w:color w:val="000000"/>
                <w:sz w:val="20"/>
                <w:szCs w:val="20"/>
              </w:rPr>
              <w:t xml:space="preserve">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w:t>
            </w:r>
          </w:p>
          <w:p>
            <w:pPr>
              <w:pStyle w:val="ListParagraph"/>
              <w:numPr>
                <w:ilvl w:val="0"/>
                <w:numId w:val="2"/>
              </w:numPr>
            </w:pPr>
            <w:r>
              <w:rPr>
                <w:i w:val="false"/>
                <w:iCs w:val="false"/>
                <w:color w:val="000000"/>
                <w:sz w:val="20"/>
                <w:szCs w:val="20"/>
              </w:rPr>
              <w:t xml:space="preserve">CUI 
 CUI 18  
• Desktop support 
• Storage arrays  
• Edge Devices 
• Last mile connectivity to KM environment(s) 
• Manage external data feeds to Space C2 environments 
5.2.2 The Contractor shall provide support to transition Space C2 mission operations from 
existing systems to modern products through scheduled and unscheduled support actions 
that maintain the status and health of the system a...</w:t>
            </w:r>
          </w:p>
          <w:p>
            <w:pPr>
              <w:pStyle w:val="ListParagraph"/>
              <w:numPr>
                <w:ilvl w:val="0"/>
                <w:numId w:val="2"/>
              </w:numPr>
            </w:pPr>
            <w:r>
              <w:rPr>
                <w:i w:val="false"/>
                <w:iCs w:val="false"/>
                <w:color w:val="000000"/>
                <w:sz w:val="20"/>
                <w:szCs w:val="20"/>
              </w:rPr>
              <w:t xml:space="preserve">CUI 
 CUI 20  
7.1.3 The on-ramp plan shall include how the Contractor shall successfully integrate services 
and products and their respective environments. This includes, but is not limited to 
SDANet, SPARTAN, C2Ops on-prem, and the Space C2 software (i.e., ATLAS, Iris, 
Hyperion clusters). 
7.1.4 The on-ramp plan shall include the staffing required over time to complete the on-ramp 
and the Co...</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Points of Contact 
Offerors shall provide primary and alternate points of contact including job title, telephone 
number and email address responsible for working non-disclosure agreements and subcontractor 
agreements as well as all program management and contracting functions for this delivery order.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Force Base, CA; 
alternative locations may include, but are not limited to, Dahlgren Naval Support 
Facility, VA and Schriever SFB, CO. The duration and frequency may change as 
requested by the SPO.  
2.3.8 The Contractor shall make their own travel and lodging arrangements and shall ensure all 
required security requirements (e.g., Visit Requests) required for access to installations 
and/or facilities are completed prior to travel.  Compact Cars and Economy seats shall be 
used when available. 
2.3.9 The Contractor shall support meetings with mission partners and stakeholders as needed 
at required classification levels at a minimum Quarterly. 
2.4 Contract Data Requirements List (CDRL) 
2.4.1 The Contractor shall provide the CDRLs identified in Table 2. The SPO will review the 
submission of data per the CDRL prior to acceptance, acceptance criteria will include 
verification of appropriate intellectual property markings. 
Table 2: Contract Data Requirements List 
# CDRL Frequency 
A001 Cost Funds Status Report (CFSR) Monthly 
A002 Program Protection Implementation Plan (PPIP) Once 
A003 Data Accession List (DAL) Periodic 
A004 Program Management Review (PMR) Monthly</w:t>
            </w:r>
          </w:p>
          <w:p>
            <w:pPr>
              <w:pStyle w:val="ListParagraph"/>
              <w:numPr>
                <w:ilvl w:val="0"/>
                <w:numId w:val="2"/>
              </w:numPr>
            </w:pPr>
            <w:r>
              <w:rPr>
                <w:i w:val="false"/>
                <w:iCs w:val="false"/>
                <w:color w:val="000000"/>
                <w:sz w:val="20"/>
                <w:szCs w:val="20"/>
              </w:rPr>
              <w:t xml:space="preserve">[REQ] 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changes that spans a minimum of a 
30-day forecast,  
• Obligation and expenditure status and forecast,  
• Invoice status,  
• Travel projections, and  
• Bill of materials. 
2.6         Associate Contractor Agreements &amp; Other Agreements 
2.4.6 The Contractor shall enter into ACAs with the contractors listed at Vandenberg Space 
Force Base (VSFB) to support cross-project integration for accomplishment of the SPO’s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Level (IL)-4 e-mail), Microsoft 
(MS) Teams, Mattermost, Jira, Jira Align, and Confluence. 
2.1.3 The Contractor shall utilize government-furnished common services identified within the 
current Service Description Document managed via the Space C2 Configuration 
Management Board (CMB). Exceptions to use of specified common services shall be 
approved by the Government. 
2.1.4 The Contractor shall maintain awareness of the Space C2 Development Teams 
implementation of a Development, Security, and Operations (DevSecOps) approach as 
managed by the Space C2 CMB. 
2.1.5 The Contractor shall proactively support collaborative root cause analysis and 
incorporate results in future processes, tooling, instrumentation, procedural changes, 
and/or software development to minimize reoccurrence of cyber, operational, and/or 
development disruptions. 
2.1.6 The Contractor shall provide contract status information for SPO management purposes.  
This includes SPO level reviews, executive reviews, independent program reviews and 
assessments, inspections, milestone events, budget excursions, and user conferences. 
2.1.7 The Contractor shall define conditions and process in writing for notifying the SPO of 
significant events to include security violations, cyber/network intrusions, criminal 
investigations, adverse financial and schedule information, and mishap reports regarding 
hardware or personnel. The contractor shall report significant events to the Government 
Lead, or their designee, within 24 hours of the event.  
2.1.8 The Contractor shall notify the Government Lead, or their designee, of Government 
Senior Leadership or other stakeholder program visits as well as program media</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1"/>
        <w:pageBreakBefore/>
      </w:pPr>
      <w:r>
        <w:t xml:space="preserve">VOLUME 3: CONTRACT DOCUMENTATION VOLUME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V3-FORMS. Mandatory 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V3-CERTS. Certifications and Representations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FAR 52.204-7 Online Representations</w:t>
            </w:r>
          </w:p>
          <w:p>
            <w:pPr>
              <w:pStyle w:val="ListParagraph"/>
              <w:numPr>
                <w:ilvl w:val="0"/>
                <w:numId w:val="2"/>
              </w:numPr>
            </w:pPr>
            <w:r>
              <w:rPr>
                <w:i w:val="false"/>
                <w:iCs w:val="false"/>
                <w:color w:val="000000"/>
                <w:sz w:val="20"/>
                <w:szCs w:val="20"/>
              </w:rPr>
              <w:t xml:space="preserve">Agency-specific certifications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CONTRACT DOCUMENTATION</w:t>
      </w:r>
    </w:p>
    <w:p>
      <w:pPr>
        <w:pBdr>
          <w:left w:val="single" w:color="C00000" w:sz="12"/>
        </w:pBdr>
        <w:shd w:fill="FCE4D6" w:val="clear"/>
        <w:spacing w:after="120"/>
        <w:ind w:left="180"/>
      </w:pPr>
      <w:r>
        <w:rPr>
          <w:b/>
          <w:bCs/>
          <w:color w:val="C00000"/>
          <w:sz w:val="20"/>
          <w:szCs w:val="20"/>
        </w:rPr>
        <w:t xml:space="preserve">PASS/FAIL: All items in this volume are mandatory. Missing or incomplete documents may result in proposal rejection.</w:t>
      </w:r>
    </w:p>
    <w:p>
      <w:pPr>
        <w:pStyle w:val="Heading2"/>
      </w:pPr>
      <w:r>
        <w:t xml:space="preserve">Mandatory Forms and Certifications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000"/>
        <w:gridCol w:w="1600"/>
        <w:gridCol w:w="1060"/>
      </w:tblGrid>
      <w:tr>
        <w:trPr>
          <w:tblHeader/>
        </w:trPr>
        <w:tc>
          <w:tcPr>
            <w:tcW w:type="dxa" w:w="500"/>
            <w:tcBorders>
              <w:top w:val="single" w:color="666666" w:sz="1"/>
              <w:left w:val="single" w:color="666666" w:sz="1"/>
              <w:bottom w:val="single" w:color="666666" w:sz="1"/>
              <w:right w:val="single" w:color="666666" w:sz="1"/>
            </w:tcBorders>
            <w:shd w:fill="D5D5D5" w:val="clear"/>
          </w:tcPr>
          <w:p>
            <w:pPr>
              <w:jc w:val="center"/>
            </w:pPr>
            <w:r>
              <w:rPr>
                <w:b/>
                <w:bCs/>
                <w:sz w:val="20"/>
                <w:szCs w:val="20"/>
              </w:rPr>
              <w:t xml:space="preserve">✓</w:t>
            </w:r>
          </w:p>
        </w:tc>
        <w:tc>
          <w:tcPr>
            <w:tcW w:type="dxa" w:w="2200"/>
            <w:tcBorders>
              <w:top w:val="single" w:color="666666" w:sz="1"/>
              <w:left w:val="single" w:color="666666" w:sz="1"/>
              <w:bottom w:val="single" w:color="666666" w:sz="1"/>
              <w:right w:val="single" w:color="666666" w:sz="1"/>
            </w:tcBorders>
            <w:shd w:fill="D5D5D5" w:val="clear"/>
          </w:tcPr>
          <w:p>
            <w:r>
              <w:rPr>
                <w:b/>
                <w:bCs/>
                <w:sz w:val="20"/>
                <w:szCs w:val="20"/>
              </w:rPr>
              <w:t xml:space="preserve">Document</w:t>
            </w:r>
          </w:p>
        </w:tc>
        <w:tc>
          <w:tcPr>
            <w:tcW w:type="dxa" w:w="4000"/>
            <w:tcBorders>
              <w:top w:val="single" w:color="666666" w:sz="1"/>
              <w:left w:val="single" w:color="666666" w:sz="1"/>
              <w:bottom w:val="single" w:color="666666" w:sz="1"/>
              <w:right w:val="single" w:color="666666" w:sz="1"/>
            </w:tcBorders>
            <w:shd w:fill="D5D5D5" w:val="clear"/>
          </w:tcPr>
          <w:p>
            <w:r>
              <w:rPr>
                <w:b/>
                <w:bCs/>
                <w:sz w:val="20"/>
                <w:szCs w:val="20"/>
              </w:rPr>
              <w:t xml:space="preserve">Description / Instructions</w:t>
            </w:r>
          </w:p>
        </w:tc>
        <w:tc>
          <w:tcPr>
            <w:tcW w:type="dxa" w:w="1600"/>
            <w:tcBorders>
              <w:top w:val="single" w:color="666666" w:sz="1"/>
              <w:left w:val="single" w:color="666666" w:sz="1"/>
              <w:bottom w:val="single" w:color="666666" w:sz="1"/>
              <w:right w:val="single" w:color="666666" w:sz="1"/>
            </w:tcBorders>
            <w:shd w:fill="D5D5D5" w:val="clear"/>
          </w:tcPr>
          <w:p>
            <w:r>
              <w:rPr>
                <w:b/>
                <w:bCs/>
                <w:sz w:val="20"/>
                <w:szCs w:val="20"/>
              </w:rPr>
              <w:t xml:space="preserve">Reference</w:t>
            </w:r>
          </w:p>
        </w:tc>
        <w:tc>
          <w:tcPr>
            <w:tcW w:type="dxa" w:w="1060"/>
            <w:tcBorders>
              <w:top w:val="single" w:color="666666" w:sz="1"/>
              <w:left w:val="single" w:color="666666" w:sz="1"/>
              <w:bottom w:val="single" w:color="666666" w:sz="1"/>
              <w:right w:val="single" w:color="666666" w:sz="1"/>
            </w:tcBorders>
            <w:shd w:fill="D5D5D5" w:val="clear"/>
          </w:tcPr>
          <w:p>
            <w:r>
              <w:rPr>
                <w:b/>
                <w:bCs/>
                <w:sz w:val="20"/>
                <w:szCs w:val="20"/>
              </w:rPr>
              <w:t xml:space="preserve">Status</w:t>
            </w:r>
          </w:p>
        </w:tc>
      </w:tr>
      <w:tr>
        <w:tc>
          <w:tcPr>
            <w:tcW w:type="dxa" w:w="500"/>
            <w:tcBorders>
              <w:top w:val="single" w:color="666666" w:sz="1"/>
              <w:left w:val="single" w:color="666666" w:sz="1"/>
              <w:bottom w:val="single" w:color="666666" w:sz="1"/>
              <w:right w:val="single" w:color="666666" w:sz="1"/>
            </w:tcBorders>
          </w:tcPr>
          <w:p>
            <w:pPr>
              <w:jc w:val="center"/>
            </w:pPr>
            <w:r>
              <w:rPr>
                <w:sz w:val="24"/>
                <w:szCs w:val="24"/>
              </w:rPr>
              <w:t xml:space="preserve">☐</w:t>
            </w:r>
          </w:p>
        </w:tc>
        <w:tc>
          <w:tcPr>
            <w:tcW w:type="dxa" w:w="2200"/>
            <w:tcBorders>
              <w:top w:val="single" w:color="666666" w:sz="1"/>
              <w:left w:val="single" w:color="666666" w:sz="1"/>
              <w:bottom w:val="single" w:color="666666" w:sz="1"/>
              <w:right w:val="single" w:color="666666" w:sz="1"/>
            </w:tcBorders>
          </w:tcPr>
          <w:p>
            <w:r>
              <w:rPr>
                <w:b/>
                <w:bCs/>
                <w:sz w:val="18"/>
                <w:szCs w:val="18"/>
              </w:rPr>
              <w:t xml:space="preserve">Representations and Certifications</w:t>
            </w:r>
            <w:r>
              <w:rPr>
                <w:color w:val="C00000"/>
                <w:sz w:val="16"/>
                <w:szCs w:val="16"/>
              </w:rPr>
              <w:t xml:space="preserve"> [P/F]</w:t>
            </w:r>
          </w:p>
        </w:tc>
        <w:tc>
          <w:tcPr>
            <w:tcW w:type="dxa" w:w="4000"/>
            <w:tcBorders>
              <w:top w:val="single" w:color="666666" w:sz="1"/>
              <w:left w:val="single" w:color="666666" w:sz="1"/>
              <w:bottom w:val="single" w:color="666666" w:sz="1"/>
              <w:right w:val="single" w:color="666666" w:sz="1"/>
            </w:tcBorders>
          </w:tcPr>
          <w:p>
            <w:r>
              <w:rPr>
                <w:sz w:val="18"/>
                <w:szCs w:val="18"/>
              </w:rPr>
              <w:t xml:space="preserve">Completed certifications per solicitation</w:t>
            </w:r>
          </w:p>
        </w:tc>
        <w:tc>
          <w:tcPr>
            <w:tcW w:type="dxa" w:w="1600"/>
            <w:tcBorders>
              <w:top w:val="single" w:color="666666" w:sz="1"/>
              <w:left w:val="single" w:color="666666" w:sz="1"/>
              <w:bottom w:val="single" w:color="666666" w:sz="1"/>
              <w:right w:val="single" w:color="666666" w:sz="1"/>
            </w:tcBorders>
          </w:tcPr>
          <w:p>
            <w:r>
              <w:rPr>
                <w:color w:val="0070C0"/>
                <w:sz w:val="18"/>
                <w:szCs w:val="18"/>
              </w:rPr>
            </w:r>
          </w:p>
        </w:tc>
        <w:tc>
          <w:tcPr>
            <w:tcW w:type="dxa" w:w="1060"/>
            <w:tcBorders>
              <w:top w:val="single" w:color="666666" w:sz="1"/>
              <w:left w:val="single" w:color="666666" w:sz="1"/>
              <w:bottom w:val="single" w:color="666666" w:sz="1"/>
              <w:right w:val="single" w:color="666666" w:sz="1"/>
            </w:tcBorders>
          </w:tcPr>
          <w:p>
            <w:r>
              <w:rPr>
                <w:i/>
                <w:iCs/>
                <w:color w:val="404040"/>
                <w:sz w:val="16"/>
                <w:szCs w:val="16"/>
              </w:rPr>
              <w:t xml:space="preserve">Pending</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VOLUME 3 COMPLETION CHECKLIST</w:t>
            </w:r>
          </w:p>
          <w:p>
            <w:pPr>
              <w:pStyle w:val="ListParagraph"/>
              <w:numPr>
                <w:ilvl w:val="0"/>
                <w:numId w:val="2"/>
              </w:numPr>
            </w:pPr>
            <w:r>
              <w:rPr>
                <w:i w:val="false"/>
                <w:iCs w:val="false"/>
                <w:color w:val="000000"/>
                <w:sz w:val="20"/>
                <w:szCs w:val="20"/>
              </w:rPr>
              <w:t xml:space="preserve">☐ SF1449 - Completed with all required fields (Blocks 12-17)</w:t>
            </w:r>
          </w:p>
          <w:p>
            <w:pPr>
              <w:pStyle w:val="ListParagraph"/>
              <w:numPr>
                <w:ilvl w:val="0"/>
                <w:numId w:val="2"/>
              </w:numPr>
            </w:pPr>
            <w:r>
              <w:rPr>
                <w:i w:val="false"/>
                <w:iCs w:val="false"/>
                <w:color w:val="000000"/>
                <w:sz w:val="20"/>
                <w:szCs w:val="20"/>
              </w:rPr>
              <w:t xml:space="preserve">☐ Online Representations - Verify SAM.gov registration is current</w:t>
            </w:r>
          </w:p>
          <w:p>
            <w:pPr>
              <w:pStyle w:val="ListParagraph"/>
              <w:numPr>
                <w:ilvl w:val="0"/>
                <w:numId w:val="2"/>
              </w:numPr>
            </w:pPr>
            <w:r>
              <w:rPr>
                <w:i w:val="false"/>
                <w:iCs w:val="false"/>
                <w:color w:val="000000"/>
                <w:sz w:val="20"/>
                <w:szCs w:val="20"/>
              </w:rPr>
              <w:t xml:space="preserve">☐ FAR 52.204-7 - Submit evidence of registration</w:t>
            </w:r>
          </w:p>
          <w:p>
            <w:pPr>
              <w:pStyle w:val="ListParagraph"/>
              <w:numPr>
                <w:ilvl w:val="0"/>
                <w:numId w:val="2"/>
              </w:numPr>
            </w:pPr>
            <w:r>
              <w:rPr>
                <w:i w:val="false"/>
                <w:iCs w:val="false"/>
                <w:color w:val="000000"/>
                <w:sz w:val="20"/>
                <w:szCs w:val="20"/>
              </w:rPr>
              <w:t xml:space="preserve">☐ Security Forms - DD-254 if applicable (verify classification requirements)</w:t>
            </w:r>
          </w:p>
          <w:p>
            <w:pPr>
              <w:pStyle w:val="ListParagraph"/>
              <w:numPr>
                <w:ilvl w:val="0"/>
                <w:numId w:val="2"/>
              </w:numPr>
            </w:pPr>
            <w:r>
              <w:rPr>
                <w:i w:val="false"/>
                <w:iCs w:val="false"/>
                <w:color w:val="000000"/>
                <w:sz w:val="20"/>
                <w:szCs w:val="20"/>
              </w:rPr>
              <w:t xml:space="preserve">☐ Certifications - All agency-specific certifications completed</w:t>
            </w:r>
          </w:p>
          <w:p>
            <w:pPr>
              <w:pStyle w:val="ListParagraph"/>
              <w:numPr>
                <w:ilvl w:val="0"/>
                <w:numId w:val="2"/>
              </w:numPr>
            </w:pPr>
            <w:r>
              <w:rPr>
                <w:i w:val="false"/>
                <w:iCs w:val="false"/>
                <w:color w:val="000000"/>
                <w:sz w:val="20"/>
                <w:szCs w:val="20"/>
              </w:rPr>
              <w:t xml:space="preserve">☐ Subcontracting Plan - Required if over simplified acquisition threshold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procedures in providing written objection to the use of non-government advisors.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2025-12-14T13:07:18.210Z</dcterms:created>
  <dcterms:modified xsi:type="dcterms:W3CDTF">2025-12-14T13:07:18.220Z</dcterms:modified>
</cp:coreProperties>
</file>

<file path=docProps/custom.xml><?xml version="1.0" encoding="utf-8"?>
<Properties xmlns="http://schemas.openxmlformats.org/officeDocument/2006/custom-properties" xmlns:vt="http://schemas.openxmlformats.org/officeDocument/2006/docPropsVTypes"/>
</file>