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pStyle w:val="Title"/>
      </w:pPr>
      <w:r>
        <w:t xml:space="preserve">ANNOTATED PROPOSAL OUTLINE</w:t>
      </w:r>
    </w:p>
    <w:p>
      <w:pPr>
        <w:spacing w:before="400" w:after="400"/>
        <w:jc w:val="center"/>
      </w:pPr>
      <w:r>
        <w:rPr>
          <w:b/>
          <w:bCs/>
          <w:color w:val="000000"/>
          <w:sz w:val="36"/>
          <w:szCs w:val="36"/>
        </w:rPr>
        <w:t xml:space="preserve">RFP Analysis</w:t>
      </w:r>
    </w:p>
    <w:p>
      <w:pPr>
        <w:spacing w:after="200"/>
        <w:jc w:val="center"/>
      </w:pPr>
      <w:r>
        <w:rPr>
          <w:sz w:val="24"/>
          <w:szCs w:val="24"/>
        </w:rPr>
        <w:t xml:space="preserve">Solicitation Number: TBD</w:t>
      </w:r>
    </w:p>
    <w:p>
      <w:pPr>
        <w:spacing w:after="600"/>
        <w:jc w:val="center"/>
      </w:pPr>
      <w:r>
        <w:rPr>
          <w:b/>
          <w:bCs/>
          <w:color w:val="C00000"/>
          <w:sz w:val="24"/>
          <w:szCs w:val="24"/>
        </w:rPr>
        <w:t xml:space="preserve">Proposal Due: TBD</w:t>
      </w:r>
    </w:p>
    <w:p>
      <w:pPr>
        <w:spacing w:before="800"/>
        <w:jc w:val="center"/>
      </w:pPr>
      <w:r>
        <w:rPr>
          <w:sz w:val="22"/>
          <w:szCs w:val="22"/>
        </w:rPr>
        <w:t xml:space="preserve">Prepared by: [Your Company Name]</w:t>
      </w:r>
    </w:p>
    <w:p>
      <w:pPr>
        <w:pBdr>
          <w:top w:val="single" w:color="000000" w:sz="6"/>
        </w:pBdr>
        <w:spacing w:before="1200" w:after="400"/>
        <w:jc w:val="center"/>
      </w:pPr>
      <w:r>
        <w:rPr>
          <w:i/>
          <w:iCs/>
          <w:sz w:val="20"/>
          <w:szCs w:val="20"/>
        </w:rPr>
        <w:t xml:space="preserve">This annotated outline serves as the master template for all proposal content development. </w:t>
      </w:r>
      <w:r>
        <w:rPr>
          <w:i/>
          <w:iCs/>
          <w:sz w:val="20"/>
          <w:szCs w:val="20"/>
        </w:rPr>
        <w:t xml:space="preserve">All writers must address every annotated requirement and follow the page allocations specified.</w:t>
      </w:r>
    </w:p>
    <w:p>
      <w:r>
        <w:br w:type="page"/>
      </w:r>
    </w:p>
    <w:p>
      <w:pPr>
        <w:pStyle w:val="Heading1"/>
      </w:pPr>
      <w:r>
        <w:t xml:space="preserve">SUBMISSION &amp; FORMAT REQUIREMENTS</w:t>
      </w:r>
    </w:p>
    <w:p>
      <w:pPr>
        <w:spacing w:after="200"/>
      </w:pPr>
      <w:r>
        <w:rPr>
          <w:b/>
          <w:bCs/>
          <w:color w:val="C00000"/>
        </w:rPr>
        <w:t xml:space="preserve">CRITICAL: Non-compliance with format requirements may result in proposal disqualification.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FC000" w:val="clear"/>
          </w:tcPr>
          <w:p>
            <w:r>
              <w:rPr>
                <w:b/>
                <w:bCs/>
                <w:sz w:val="22"/>
                <w:szCs w:val="22"/>
              </w:rPr>
              <w:t xml:space="preserve">Due Date</w:t>
            </w:r>
          </w:p>
        </w:tc>
        <w:tc>
          <w:tcPr>
            <w:tcW w:type="dxa" w:w="6360"/>
            <w:tcBorders>
              <w:top w:val="single" w:color="CCCCCC" w:sz="1"/>
              <w:left w:val="single" w:color="CCCCCC" w:sz="1"/>
              <w:bottom w:val="single" w:color="CCCCCC" w:sz="1"/>
              <w:right w:val="single" w:color="CCCCCC" w:sz="1"/>
            </w:tcBorders>
            <w:shd w:fill="FFC000" w:val="clear"/>
          </w:tcPr>
          <w:p>
            <w:r>
              <w:rPr>
                <w:color w:val="000000"/>
                <w:sz w:val="22"/>
                <w:szCs w:val="22"/>
              </w:rPr>
              <w:t xml:space="preserve">TBD</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Submission Method</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Not Specified</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Total Page Limit</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See individual volumes</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Font</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Font Size</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Margins</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Line Spacing</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Verify in RFP</w:t>
            </w:r>
          </w:p>
        </w:tc>
      </w:tr>
      <w:tr>
        <w:tc>
          <w:tcPr>
            <w:tcW w:type="dxa" w:w="3000"/>
            <w:tcBorders>
              <w:top w:val="single" w:color="CCCCCC" w:sz="1"/>
              <w:left w:val="single" w:color="CCCCCC" w:sz="1"/>
              <w:bottom w:val="single" w:color="CCCCCC" w:sz="1"/>
              <w:right w:val="single" w:color="CCCCCC" w:sz="1"/>
            </w:tcBorders>
          </w:tcPr>
          <w:p>
            <w:r>
              <w:rPr>
                <w:b/>
                <w:bCs/>
                <w:sz w:val="22"/>
                <w:szCs w:val="22"/>
              </w:rPr>
              <w:t xml:space="preserve">Page Size</w:t>
            </w:r>
          </w:p>
        </w:tc>
        <w:tc>
          <w:tcPr>
            <w:tcW w:type="dxa" w:w="6360"/>
            <w:tcBorders>
              <w:top w:val="single" w:color="CCCCCC" w:sz="1"/>
              <w:left w:val="single" w:color="CCCCCC" w:sz="1"/>
              <w:bottom w:val="single" w:color="CCCCCC" w:sz="1"/>
              <w:right w:val="single" w:color="CCCCCC" w:sz="1"/>
            </w:tcBorders>
          </w:tcPr>
          <w:p>
            <w:r>
              <w:rPr>
                <w:color w:val="000000"/>
                <w:sz w:val="22"/>
                <w:szCs w:val="22"/>
              </w:rPr>
              <w:t xml:space="preserve">8.5" x 11" (Letter)</w:t>
            </w:r>
          </w:p>
        </w:tc>
      </w:tr>
    </w:tbl>
    <w:p>
      <w:pPr>
        <w:spacing w:after="200"/>
      </w:pPr>
    </w:p>
    <w:p>
      <w:r>
        <w:br w:type="page"/>
      </w:r>
    </w:p>
    <w:p>
      <w:pPr>
        <w:pStyle w:val="Heading2"/>
      </w:pPr>
      <w:r>
        <w:t xml:space="preserve">Annotation Color Code Legend</w:t>
      </w:r>
    </w:p>
    <w:p>
      <w:pPr>
        <w:spacing w:after="120"/>
      </w:pPr>
      <w:r>
        <w:rPr>
          <w:sz w:val="20"/>
          <w:szCs w:val="20"/>
        </w:rPr>
        <w:t xml:space="preserve">Requirements are color-coded by source to help writers understand what the customer is asking for (Section C), how to submit it (Section L), and how it will be scored (Section M).</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c>
          <w:tcPr>
            <w:tcW w:type="dxa" w:w="1800"/>
            <w:tcBorders>
              <w:top w:val="single" w:color="CCCCCC" w:sz="1"/>
              <w:left w:val="single" w:color="CCCCCC" w:sz="1"/>
              <w:bottom w:val="single" w:color="CCCCCC" w:sz="1"/>
              <w:right w:val="single" w:color="CCCCCC" w:sz="1"/>
            </w:tcBorders>
            <w:shd w:fill="D5D5D5" w:val="clear"/>
          </w:tcPr>
          <w:p>
            <w:r>
              <w:rPr>
                <w:b/>
                <w:bCs/>
                <w:sz w:val="20"/>
                <w:szCs w:val="20"/>
              </w:rPr>
              <w:t xml:space="preserve">Color</w:t>
            </w:r>
          </w:p>
        </w:tc>
        <w:tc>
          <w:tcPr>
            <w:tcW w:type="dxa" w:w="3000"/>
            <w:tcBorders>
              <w:top w:val="single" w:color="CCCCCC" w:sz="1"/>
              <w:left w:val="single" w:color="CCCCCC" w:sz="1"/>
              <w:bottom w:val="single" w:color="CCCCCC" w:sz="1"/>
              <w:right w:val="single" w:color="CCCCCC" w:sz="1"/>
            </w:tcBorders>
            <w:shd w:fill="D5D5D5" w:val="clear"/>
          </w:tcPr>
          <w:p>
            <w:r>
              <w:rPr>
                <w:b/>
                <w:bCs/>
                <w:sz w:val="20"/>
                <w:szCs w:val="20"/>
              </w:rPr>
              <w:t xml:space="preserve">Source</w:t>
            </w:r>
          </w:p>
        </w:tc>
        <w:tc>
          <w:tcPr>
            <w:tcW w:type="dxa" w:w="4560"/>
            <w:tcBorders>
              <w:top w:val="single" w:color="CCCCCC" w:sz="1"/>
              <w:left w:val="single" w:color="CCCCCC" w:sz="1"/>
              <w:bottom w:val="single" w:color="CCCCCC" w:sz="1"/>
              <w:right w:val="single" w:color="CCCCCC" w:sz="1"/>
            </w:tcBorders>
            <w:shd w:fill="D5D5D5" w:val="clear"/>
          </w:tcPr>
          <w:p>
            <w:r>
              <w:rPr>
                <w:b/>
                <w:bCs/>
                <w:sz w:val="20"/>
                <w:szCs w:val="20"/>
              </w:rPr>
              <w:t xml:space="preserve">Purpose</w:t>
            </w:r>
          </w:p>
        </w:tc>
      </w:tr>
      <w:tr>
        <w:tc>
          <w:tcPr>
            <w:tcW w:type="dxa" w:w="1800"/>
            <w:tcBorders>
              <w:top w:val="single" w:color="CCCCCC" w:sz="1"/>
              <w:left w:val="single" w:color="CCCCCC" w:sz="1"/>
              <w:bottom w:val="single" w:color="CCCCCC" w:sz="1"/>
              <w:right w:val="single" w:color="CCCCCC" w:sz="1"/>
            </w:tcBorders>
          </w:tcPr>
          <w:p>
            <w:r>
              <w:rPr>
                <w:b/>
                <w:bCs/>
                <w:color w:val="C00000"/>
                <w:sz w:val="20"/>
                <w:szCs w:val="20"/>
              </w:rPr>
              <w:t xml:space="preserve">RED</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L (Instructions)</w:t>
            </w:r>
          </w:p>
        </w:tc>
        <w:tc>
          <w:tcPr>
            <w:tcW w:type="dxa" w:w="4560"/>
            <w:tcBorders>
              <w:top w:val="single" w:color="CCCCCC" w:sz="1"/>
              <w:left w:val="single" w:color="CCCCCC" w:sz="1"/>
              <w:bottom w:val="single" w:color="CCCCCC" w:sz="1"/>
              <w:right w:val="single" w:color="CCCCCC" w:sz="1"/>
            </w:tcBorders>
          </w:tcPr>
          <w:p>
            <w:r>
              <w:rPr>
                <w:sz w:val="20"/>
                <w:szCs w:val="20"/>
              </w:rPr>
              <w:t xml:space="preserve">How to submit - format, content, page limits</w:t>
            </w:r>
          </w:p>
        </w:tc>
      </w:tr>
      <w:tr>
        <w:tc>
          <w:tcPr>
            <w:tcW w:type="dxa" w:w="1800"/>
            <w:tcBorders>
              <w:top w:val="single" w:color="CCCCCC" w:sz="1"/>
              <w:left w:val="single" w:color="CCCCCC" w:sz="1"/>
              <w:bottom w:val="single" w:color="CCCCCC" w:sz="1"/>
              <w:right w:val="single" w:color="CCCCCC" w:sz="1"/>
            </w:tcBorders>
          </w:tcPr>
          <w:p>
            <w:r>
              <w:rPr>
                <w:b/>
                <w:bCs/>
                <w:color w:val="0070C0"/>
                <w:sz w:val="20"/>
                <w:szCs w:val="20"/>
              </w:rPr>
              <w:t xml:space="preserve">BLUE</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M (Evaluation)</w:t>
            </w:r>
          </w:p>
        </w:tc>
        <w:tc>
          <w:tcPr>
            <w:tcW w:type="dxa" w:w="4560"/>
            <w:tcBorders>
              <w:top w:val="single" w:color="CCCCCC" w:sz="1"/>
              <w:left w:val="single" w:color="CCCCCC" w:sz="1"/>
              <w:bottom w:val="single" w:color="CCCCCC" w:sz="1"/>
              <w:right w:val="single" w:color="CCCCCC" w:sz="1"/>
            </w:tcBorders>
          </w:tcPr>
          <w:p>
            <w:r>
              <w:rPr>
                <w:sz w:val="20"/>
                <w:szCs w:val="20"/>
              </w:rPr>
              <w:t xml:space="preserve">How proposal will be scored - criteria, weights</w:t>
            </w:r>
          </w:p>
        </w:tc>
      </w:tr>
      <w:tr>
        <w:tc>
          <w:tcPr>
            <w:tcW w:type="dxa" w:w="1800"/>
            <w:tcBorders>
              <w:top w:val="single" w:color="CCCCCC" w:sz="1"/>
              <w:left w:val="single" w:color="CCCCCC" w:sz="1"/>
              <w:bottom w:val="single" w:color="CCCCCC" w:sz="1"/>
              <w:right w:val="single" w:color="CCCCCC" w:sz="1"/>
            </w:tcBorders>
          </w:tcPr>
          <w:p>
            <w:r>
              <w:rPr>
                <w:b/>
                <w:bCs/>
                <w:color w:val="7030A0"/>
                <w:sz w:val="20"/>
                <w:szCs w:val="20"/>
              </w:rPr>
              <w:t xml:space="preserve">PURPLE</w:t>
            </w:r>
          </w:p>
        </w:tc>
        <w:tc>
          <w:tcPr>
            <w:tcW w:type="dxa" w:w="3000"/>
            <w:tcBorders>
              <w:top w:val="single" w:color="CCCCCC" w:sz="1"/>
              <w:left w:val="single" w:color="CCCCCC" w:sz="1"/>
              <w:bottom w:val="single" w:color="CCCCCC" w:sz="1"/>
              <w:right w:val="single" w:color="CCCCCC" w:sz="1"/>
            </w:tcBorders>
          </w:tcPr>
          <w:p>
            <w:r>
              <w:rPr>
                <w:sz w:val="20"/>
                <w:szCs w:val="20"/>
              </w:rPr>
              <w:t xml:space="preserve">Section C/PWS/SOW</w:t>
            </w:r>
          </w:p>
        </w:tc>
        <w:tc>
          <w:tcPr>
            <w:tcW w:type="dxa" w:w="4560"/>
            <w:tcBorders>
              <w:top w:val="single" w:color="CCCCCC" w:sz="1"/>
              <w:left w:val="single" w:color="CCCCCC" w:sz="1"/>
              <w:bottom w:val="single" w:color="CCCCCC" w:sz="1"/>
              <w:right w:val="single" w:color="CCCCCC" w:sz="1"/>
            </w:tcBorders>
          </w:tcPr>
          <w:p>
            <w:r>
              <w:rPr>
                <w:sz w:val="20"/>
                <w:szCs w:val="20"/>
              </w:rPr>
              <w:t xml:space="preserve">What to do - technical requirements, scope</w:t>
            </w:r>
          </w:p>
        </w:tc>
      </w:tr>
      <w:tr>
        <w:tc>
          <w:tcPr>
            <w:tcW w:type="dxa" w:w="1800"/>
            <w:tcBorders>
              <w:top w:val="single" w:color="CCCCCC" w:sz="1"/>
              <w:left w:val="single" w:color="CCCCCC" w:sz="1"/>
              <w:bottom w:val="single" w:color="CCCCCC" w:sz="1"/>
              <w:right w:val="single" w:color="CCCCCC" w:sz="1"/>
            </w:tcBorders>
          </w:tcPr>
          <w:p>
            <w:r>
              <w:rPr>
                <w:b/>
                <w:bCs/>
                <w:color w:val="00B050"/>
                <w:sz w:val="20"/>
                <w:szCs w:val="20"/>
              </w:rPr>
              <w:t xml:space="preserve">GREEN</w:t>
            </w:r>
          </w:p>
        </w:tc>
        <w:tc>
          <w:tcPr>
            <w:tcW w:type="dxa" w:w="3000"/>
            <w:tcBorders>
              <w:top w:val="single" w:color="CCCCCC" w:sz="1"/>
              <w:left w:val="single" w:color="CCCCCC" w:sz="1"/>
              <w:bottom w:val="single" w:color="CCCCCC" w:sz="1"/>
              <w:right w:val="single" w:color="CCCCCC" w:sz="1"/>
            </w:tcBorders>
          </w:tcPr>
          <w:p>
            <w:r>
              <w:rPr>
                <w:sz w:val="20"/>
                <w:szCs w:val="20"/>
              </w:rPr>
              <w:t xml:space="preserve">Win Themes</w:t>
            </w:r>
          </w:p>
        </w:tc>
        <w:tc>
          <w:tcPr>
            <w:tcW w:type="dxa" w:w="4560"/>
            <w:tcBorders>
              <w:top w:val="single" w:color="CCCCCC" w:sz="1"/>
              <w:left w:val="single" w:color="CCCCCC" w:sz="1"/>
              <w:bottom w:val="single" w:color="CCCCCC" w:sz="1"/>
              <w:right w:val="single" w:color="CCCCCC" w:sz="1"/>
            </w:tcBorders>
          </w:tcPr>
          <w:p>
            <w:r>
              <w:rPr>
                <w:sz w:val="20"/>
                <w:szCs w:val="20"/>
              </w:rPr>
              <w:t xml:space="preserve">Discriminators and key messages to emphasize</w:t>
            </w:r>
          </w:p>
        </w:tc>
      </w:tr>
      <w:tr>
        <w:tc>
          <w:tcPr>
            <w:tcW w:type="dxa" w:w="1800"/>
            <w:tcBorders>
              <w:top w:val="single" w:color="CCCCCC" w:sz="1"/>
              <w:left w:val="single" w:color="CCCCCC" w:sz="1"/>
              <w:bottom w:val="single" w:color="CCCCCC" w:sz="1"/>
              <w:right w:val="single" w:color="CCCCCC" w:sz="1"/>
            </w:tcBorders>
          </w:tcPr>
          <w:p>
            <w:r>
              <w:rPr>
                <w:b/>
                <w:bCs/>
                <w:color w:val="ED7D31"/>
                <w:sz w:val="20"/>
                <w:szCs w:val="20"/>
              </w:rPr>
              <w:t xml:space="preserve">ORANGE</w:t>
            </w:r>
          </w:p>
        </w:tc>
        <w:tc>
          <w:tcPr>
            <w:tcW w:type="dxa" w:w="3000"/>
            <w:tcBorders>
              <w:top w:val="single" w:color="CCCCCC" w:sz="1"/>
              <w:left w:val="single" w:color="CCCCCC" w:sz="1"/>
              <w:bottom w:val="single" w:color="CCCCCC" w:sz="1"/>
              <w:right w:val="single" w:color="CCCCCC" w:sz="1"/>
            </w:tcBorders>
          </w:tcPr>
          <w:p>
            <w:r>
              <w:rPr>
                <w:sz w:val="20"/>
                <w:szCs w:val="20"/>
              </w:rPr>
              <w:t xml:space="preserve">Proof Points</w:t>
            </w:r>
          </w:p>
        </w:tc>
        <w:tc>
          <w:tcPr>
            <w:tcW w:type="dxa" w:w="4560"/>
            <w:tcBorders>
              <w:top w:val="single" w:color="CCCCCC" w:sz="1"/>
              <w:left w:val="single" w:color="CCCCCC" w:sz="1"/>
              <w:bottom w:val="single" w:color="CCCCCC" w:sz="1"/>
              <w:right w:val="single" w:color="CCCCCC" w:sz="1"/>
            </w:tcBorders>
          </w:tcPr>
          <w:p>
            <w:r>
              <w:rPr>
                <w:sz w:val="20"/>
                <w:szCs w:val="20"/>
              </w:rPr>
              <w:t xml:space="preserve">Evidence needed - past performance, metrics, certs</w:t>
            </w:r>
          </w:p>
        </w:tc>
      </w:tr>
      <w:tr>
        <w:tc>
          <w:tcPr>
            <w:tcW w:type="dxa" w:w="1800"/>
            <w:tcBorders>
              <w:top w:val="single" w:color="CCCCCC" w:sz="1"/>
              <w:left w:val="single" w:color="CCCCCC" w:sz="1"/>
              <w:bottom w:val="single" w:color="CCCCCC" w:sz="1"/>
              <w:right w:val="single" w:color="CCCCCC" w:sz="1"/>
            </w:tcBorders>
          </w:tcPr>
          <w:p>
            <w:r>
              <w:rPr>
                <w:b/>
                <w:bCs/>
                <w:color w:val="5B9BD5"/>
                <w:sz w:val="20"/>
                <w:szCs w:val="20"/>
              </w:rPr>
              <w:t xml:space="preserve">BLUE-GRAY</w:t>
            </w:r>
          </w:p>
        </w:tc>
        <w:tc>
          <w:tcPr>
            <w:tcW w:type="dxa" w:w="3000"/>
            <w:tcBorders>
              <w:top w:val="single" w:color="CCCCCC" w:sz="1"/>
              <w:left w:val="single" w:color="CCCCCC" w:sz="1"/>
              <w:bottom w:val="single" w:color="CCCCCC" w:sz="1"/>
              <w:right w:val="single" w:color="CCCCCC" w:sz="1"/>
            </w:tcBorders>
          </w:tcPr>
          <w:p>
            <w:r>
              <w:rPr>
                <w:sz w:val="20"/>
                <w:szCs w:val="20"/>
              </w:rPr>
              <w:t xml:space="preserve">Graphics</w:t>
            </w:r>
          </w:p>
        </w:tc>
        <w:tc>
          <w:tcPr>
            <w:tcW w:type="dxa" w:w="4560"/>
            <w:tcBorders>
              <w:top w:val="single" w:color="CCCCCC" w:sz="1"/>
              <w:left w:val="single" w:color="CCCCCC" w:sz="1"/>
              <w:bottom w:val="single" w:color="CCCCCC" w:sz="1"/>
              <w:right w:val="single" w:color="CCCCCC" w:sz="1"/>
            </w:tcBorders>
          </w:tcPr>
          <w:p>
            <w:r>
              <w:rPr>
                <w:sz w:val="20"/>
                <w:szCs w:val="20"/>
              </w:rPr>
              <w:t xml:space="preserve">Planned visuals with action captions</w:t>
            </w:r>
          </w:p>
        </w:tc>
      </w:tr>
    </w:tbl>
    <w:p>
      <w:pPr>
        <w:spacing w:after="300"/>
      </w:pPr>
    </w:p>
    <w:p>
      <w:pPr>
        <w:pStyle w:val="Heading1"/>
      </w:pPr>
      <w:r>
        <w:t xml:space="preserve">EVALUATION FACTORS SUMMARY</w:t>
      </w:r>
    </w:p>
    <w:p>
      <w:pPr>
        <w:spacing w:after="200"/>
      </w:pPr>
      <w:r>
        <w:rPr>
          <w:color w:val="0070C0"/>
          <w:sz w:val="20"/>
          <w:szCs w:val="20"/>
        </w:rPr>
        <w:t xml:space="preserve">Understanding how the proposal will be scored is critical. Structure content to directly address each evaluation factor.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060"/>
      </w:tblGrid>
      <w:tr>
        <w:trPr>
          <w:tblHeader/>
        </w:trPr>
        <w:tc>
          <w:tcPr>
            <w:tcW w:type="dxa" w:w="280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Factor</w:t>
            </w:r>
          </w:p>
        </w:tc>
        <w:tc>
          <w:tcPr>
            <w:tcW w:type="dxa" w:w="150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Weight</w:t>
            </w:r>
          </w:p>
        </w:tc>
        <w:tc>
          <w:tcPr>
            <w:tcW w:type="dxa" w:w="5060"/>
            <w:tcBorders>
              <w:top w:val="single" w:color="CCCCCC" w:sz="1"/>
              <w:left w:val="single" w:color="CCCCCC" w:sz="1"/>
              <w:bottom w:val="single" w:color="CCCCCC" w:sz="1"/>
              <w:right w:val="single" w:color="CCCCCC" w:sz="1"/>
            </w:tcBorders>
            <w:shd w:fill="0070C0" w:val="clear"/>
          </w:tcPr>
          <w:p>
            <w:r>
              <w:rPr>
                <w:b/>
                <w:bCs/>
                <w:color w:val="FFFFFF"/>
                <w:sz w:val="20"/>
                <w:szCs w:val="20"/>
              </w:rPr>
              <w:t xml:space="preserve">Key Criteria</w:t>
            </w:r>
          </w:p>
        </w:tc>
      </w:tr>
      <w:tr>
        <w:tc>
          <w:tcPr>
            <w:tcW w:type="dxa" w:w="2800"/>
            <w:tcBorders>
              <w:top w:val="single" w:color="CCCCCC" w:sz="1"/>
              <w:left w:val="single" w:color="CCCCCC" w:sz="1"/>
              <w:bottom w:val="single" w:color="CCCCCC" w:sz="1"/>
              <w:right w:val="single" w:color="CCCCCC" w:sz="1"/>
            </w:tcBorders>
          </w:tcPr>
          <w:p>
            <w:r>
              <w:rPr>
                <w:b/>
                <w:bCs/>
                <w:sz w:val="20"/>
                <w:szCs w:val="20"/>
              </w:rPr>
              <w:t xml:space="preserve">Factor 1: Certification Requirements</w:t>
            </w:r>
          </w:p>
        </w:tc>
        <w:tc>
          <w:tcPr>
            <w:tcW w:type="dxa" w:w="1500"/>
            <w:tcBorders>
              <w:top w:val="single" w:color="CCCCCC" w:sz="1"/>
              <w:left w:val="single" w:color="CCCCCC" w:sz="1"/>
              <w:bottom w:val="single" w:color="CCCCCC" w:sz="1"/>
              <w:right w:val="single" w:color="CCCCCC" w:sz="1"/>
            </w:tcBorders>
          </w:tcPr>
          <w:p>
            <w:r>
              <w:rPr>
                <w:sz w:val="20"/>
                <w:szCs w:val="20"/>
              </w:rPr>
              <w:t xml:space="preserve">TBD</w:t>
            </w:r>
          </w:p>
        </w:tc>
        <w:tc>
          <w:tcPr>
            <w:tcW w:type="dxa" w:w="5060"/>
            <w:tcBorders>
              <w:top w:val="single" w:color="CCCCCC" w:sz="1"/>
              <w:left w:val="single" w:color="CCCCCC" w:sz="1"/>
              <w:bottom w:val="single" w:color="CCCCCC" w:sz="1"/>
              <w:right w:val="single" w:color="CCCCCC" w:sz="1"/>
            </w:tcBorders>
          </w:tcPr>
          <w:p>
            <w:r>
              <w:rPr>
                <w:sz w:val="20"/>
                <w:szCs w:val="20"/>
              </w:rPr>
              <w:t xml:space="preserve">See Section M for details</w:t>
            </w:r>
          </w:p>
        </w:tc>
      </w:tr>
    </w:tbl>
    <w:p>
      <w:r>
        <w:br w:type="page"/>
      </w:r>
    </w:p>
    <w:p>
      <w:pPr>
        <w:pStyle w:val="Heading1"/>
      </w:pPr>
      <w:r>
        <w:t xml:space="preserve">VOLUME 1: TECHNICAL APPROACH</w:t>
      </w:r>
    </w:p>
    <w:p>
      <w:pPr>
        <w:spacing w:after="120"/>
      </w:pPr>
      <w:r>
        <w:rPr>
          <w:b/>
          <w:bCs/>
          <w:sz w:val="22"/>
          <w:szCs w:val="22"/>
        </w:rPr>
        <w:t xml:space="preserve">Page Limit: </w:t>
      </w:r>
      <w:r>
        <w:rPr>
          <w:color w:val="C00000"/>
          <w:sz w:val="22"/>
          <w:szCs w:val="22"/>
        </w:rPr>
        <w:t xml:space="preserve">No limit specified</w:t>
      </w:r>
    </w:p>
    <w:p>
      <w:pPr>
        <w:pStyle w:val="Heading2"/>
      </w:pPr>
      <w:r>
        <w:t xml:space="preserve">SEC-TECH-1. Technical Approach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SECTION L - INSTRUCTIONS</w:t>
            </w:r>
          </w:p>
          <w:p>
            <w:pPr>
              <w:pStyle w:val="ListParagraph"/>
              <w:numPr>
                <w:ilvl w:val="0"/>
                <w:numId w:val="2"/>
              </w:numPr>
            </w:pPr>
            <w:r>
              <w:rPr>
                <w:i w:val="false"/>
                <w:iCs w:val="false"/>
                <w:color w:val="000000"/>
                <w:sz w:val="20"/>
                <w:szCs w:val="20"/>
              </w:rPr>
              <w:t xml:space="preserve">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w:t>
            </w:r>
          </w:p>
          <w:p>
            <w:pPr>
              <w:pStyle w:val="ListParagraph"/>
              <w:numPr>
                <w:ilvl w:val="0"/>
                <w:numId w:val="2"/>
              </w:numPr>
            </w:pPr>
            <w:r>
              <w:rPr>
                <w:i w:val="false"/>
                <w:iCs w:val="false"/>
                <w:color w:val="000000"/>
                <w:sz w:val="20"/>
                <w:szCs w:val="20"/>
              </w:rPr>
              <w:t xml:space="preserve">159
The Government will not conduct discussions as part of the Phase I Advisory Down-
Select. The Government does not intend to provide debriefings after the completion of the 
advisory notifications. Failure to participate in Phase I precludes further consideration of 
a Quoter.
Failure to comply with the solicitation requirements will result in the removal from the 
competition as FLETC reserves the right to eliminate quotes that do not conform. Quotes 
will be reviewed to ensure that all term...</w:t>
            </w:r>
          </w:p>
          <w:p>
            <w:pPr>
              <w:pStyle w:val="ListParagraph"/>
              <w:numPr>
                <w:ilvl w:val="0"/>
                <w:numId w:val="2"/>
              </w:numPr>
            </w:pPr>
            <w:r>
              <w:rPr>
                <w:i w:val="false"/>
                <w:iCs w:val="false"/>
                <w:color w:val="000000"/>
                <w:sz w:val="20"/>
                <w:szCs w:val="20"/>
              </w:rPr>
              <w:t xml:space="preserve">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▪Innovation and efficiency in achieving objectives.
▪Examples of past success in similar technical en...</w:t>
            </w:r>
          </w:p>
          <w:p>
            <w:pPr>
              <w:pStyle w:val="ListParagraph"/>
              <w:numPr>
                <w:ilvl w:val="0"/>
                <w:numId w:val="2"/>
              </w:numPr>
            </w:pPr>
            <w:r>
              <w:rPr>
                <w:i w:val="false"/>
                <w:iCs w:val="false"/>
                <w:color w:val="000000"/>
                <w:sz w:val="20"/>
                <w:szCs w:val="20"/>
              </w:rPr>
              <w:t xml:space="preserve">▪Training and development programs to ensure staff are equipped to 
meet technical and security requirements.
▪Strategies to minimize turnover and ensure knowledge transfer.
▪A detailed organizational chart showing key personnel and 
reporting structures.
oEvaluation Criteria:
▪The Government will evaluate the Offeror’s ability to provide a 
qualified and stable workforce capable of meeting the contract 
requirements.</w:t>
            </w:r>
          </w:p>
          <w:p>
            <w:pPr>
              <w:pStyle w:val="ListParagraph"/>
              <w:numPr>
                <w:ilvl w:val="0"/>
                <w:numId w:val="2"/>
              </w:numPr>
            </w:pPr>
            <w:r>
              <w:rPr>
                <w:i w:val="false"/>
                <w:iCs w:val="false"/>
                <w:color w:val="000000"/>
                <w:sz w:val="20"/>
                <w:szCs w:val="20"/>
              </w:rPr>
              <w:t xml:space="preserve">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▪Objective Summary: A clear statement of the goals and 
objectives of the contract.
▪Technical Appro...</w:t>
            </w:r>
          </w:p>
          <w:p>
            <w:pPr>
              <w:pStyle w:val="ListParagraph"/>
              <w:numPr>
                <w:ilvl w:val="0"/>
                <w:numId w:val="2"/>
              </w:numPr>
            </w:pPr>
            <w:r>
              <w:rPr>
                <w:i w:val="false"/>
                <w:iCs w:val="false"/>
                <w:color w:val="000000"/>
                <w:sz w:val="20"/>
                <w:szCs w:val="20"/>
              </w:rPr>
              <w:t xml:space="preserve">These issues may include technical and price. If the parties cannot successfully 
address any remaining issues, as determined pertinent at the sole discretion of the 
Government, the Government reserves the right to communicate with the next best-suited 
quoter based on the original analysis and address any remaining issues. Once the 
Government has begun communications with the next best-suited quoter, no further 
communications with the previous quoter will be entertained until after the task ...</w:t>
            </w:r>
          </w:p>
          <w:p>
            <w:pPr>
              <w:pStyle w:val="ListParagraph"/>
              <w:numPr>
                <w:ilvl w:val="0"/>
                <w:numId w:val="2"/>
              </w:numPr>
            </w:pPr>
            <w:r>
              <w:rPr>
                <w:i w:val="false"/>
                <w:iCs w:val="false"/>
                <w:color w:val="000000"/>
                <w:sz w:val="20"/>
                <w:szCs w:val="20"/>
              </w:rPr>
              <w:t xml:space="preserve">[REQ] Participate in formal OPSEC classroom and/or CBT and briefings, as required.
The Contractor will coordinate with Project Coordinators, e.g., FMD, and OSPR/OPS the 
conduct of OPSEC reviews, assessments, and evaluations of FLETC contractor products 
designated for external distribution or publication to include television, radio, film, video, 
print, photography, and electronic products, for those ...</w:t>
            </w:r>
          </w:p>
          <w:p>
            <w:pPr>
              <w:pStyle w:val="ListParagraph"/>
              <w:numPr>
                <w:ilvl w:val="0"/>
                <w:numId w:val="2"/>
              </w:numPr>
            </w:pPr>
            <w:r>
              <w:rPr>
                <w:i w:val="false"/>
                <w:iCs w:val="false"/>
                <w:color w:val="000000"/>
                <w:sz w:val="20"/>
                <w:szCs w:val="20"/>
              </w:rPr>
              <w:t xml:space="preserve">[REQ] 106
In addition to IT Security Awareness training, the Contractor shall provide Contractor 
and subcontractor personnel performing significant IT security responsibilities under this 
contract with specific role-based training prescribed in Appendix A of the FLETC IT 
Security Awareness, Training and Education Plan.
H.34.2   IT Access
The Contractor shall sign the prescribed Rules of Behavior befo...</w:t>
            </w:r>
          </w:p>
          <w:p>
            <w:pPr>
              <w:pStyle w:val="ListParagraph"/>
              <w:numPr>
                <w:ilvl w:val="0"/>
                <w:numId w:val="2"/>
              </w:numPr>
            </w:pPr>
            <w:r>
              <w:rPr>
                <w:i w:val="false"/>
                <w:iCs w:val="false"/>
                <w:color w:val="000000"/>
                <w:sz w:val="20"/>
                <w:szCs w:val="20"/>
              </w:rPr>
              <w:t xml:space="preserve">[REQ] interface, embeds custom user control(s), embeds video or multimedia, uses 
proprietary or technical approaches such as, but not limited to, Flash or Asynchronous 
JavaScript and XML (AJAX) then “1194.21 Software” standards also apply to fulfill 
functional performance criteria.
36 CFR 1194.24 Video and Multimedia Products, applies to all video and multimedia 
products that are procured or develop...</w:t>
            </w:r>
          </w:p>
          <w:p>
            <w:pPr>
              <w:pStyle w:val="ListParagraph"/>
              <w:numPr>
                <w:ilvl w:val="0"/>
                <w:numId w:val="2"/>
              </w:numPr>
            </w:pPr>
            <w:r>
              <w:rPr>
                <w:i w:val="false"/>
                <w:iCs w:val="false"/>
                <w:color w:val="000000"/>
                <w:sz w:val="20"/>
                <w:szCs w:val="20"/>
              </w:rPr>
              <w:t xml:space="preserve">[REQ] 36 CFR 1194.26 – Desktop and Portable Computers, applies to all desktop and portable 
computers, including but not limited to laptops and personal data assistants (PDA) that 
are procured or developed under this work statement.
36 CFR 1194.31 – Functional Performance Criteria applies to all EIT deliverables 
regardless of delivery method. All EIT deliverable shall use technical standards, 
regardl...</w:t>
            </w:r>
          </w:p>
          <w:p>
            <w:pPr>
              <w:pStyle w:val="ListParagraph"/>
              <w:numPr>
                <w:ilvl w:val="0"/>
                <w:numId w:val="2"/>
              </w:numPr>
            </w:pPr>
            <w:r>
              <w:rPr>
                <w:i w:val="false"/>
                <w:iCs w:val="false"/>
                <w:color w:val="000000"/>
                <w:sz w:val="20"/>
                <w:szCs w:val="20"/>
              </w:rPr>
              <w:t xml:space="preserve">[REQ] All forms must be completed in their entirety by all Contractor and subcontractor 
personnel subject to the requirement. If the background investigation results in an 
unfavorable adjudication, the individual will be denied access to FLETC IT systems and 
sensitive data. Examples of offenses which could prevent access to FLETC IT systems 
and sensitive data include but are not limited to any felon...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0C0" w:sz="1"/>
              <w:left w:val="single" w:color="0070C0" w:sz="1"/>
              <w:bottom w:val="single" w:color="0070C0" w:sz="1"/>
              <w:right w:val="single" w:color="0070C0" w:sz="1"/>
            </w:tcBorders>
            <w:shd w:fill="D6E3F8" w:val="clear"/>
          </w:tcPr>
          <w:p>
            <w:pPr>
              <w:spacing w:after="80"/>
            </w:pPr>
            <w:r>
              <w:rPr>
                <w:b/>
                <w:bCs/>
                <w:color w:val="0070C0"/>
                <w:sz w:val="18"/>
                <w:szCs w:val="18"/>
                <w:smallCaps/>
              </w:rPr>
              <w:t xml:space="preserve">SECTION M - EVALUATION CRITERIA</w:t>
            </w:r>
          </w:p>
          <w:p>
            <w:pPr>
              <w:pStyle w:val="ListParagraph"/>
              <w:numPr>
                <w:ilvl w:val="0"/>
                <w:numId w:val="2"/>
              </w:numPr>
            </w:pPr>
            <w:r>
              <w:rPr>
                <w:i w:val="false"/>
                <w:iCs w:val="false"/>
                <w:color w:val="000000"/>
                <w:sz w:val="20"/>
                <w:szCs w:val="20"/>
              </w:rPr>
              <w:t xml:space="preserve">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w:t>
            </w:r>
          </w:p>
          <w:p>
            <w:pPr>
              <w:pStyle w:val="ListParagraph"/>
              <w:numPr>
                <w:ilvl w:val="0"/>
                <w:numId w:val="2"/>
              </w:numPr>
            </w:pPr>
            <w:r>
              <w:rPr>
                <w:i w:val="false"/>
                <w:iCs w:val="false"/>
                <w:color w:val="000000"/>
                <w:sz w:val="20"/>
                <w:szCs w:val="20"/>
              </w:rPr>
              <w:t xml:space="preserve">159
The Government will not conduct discussions as part of the Phase I Advisory Down-
Select. The Government does not intend to provide debriefings after the completion of the 
advisory notifications. Failure to participate in Phase I precludes further consideration of 
a Quoter.
Failure to comply with the solicitation requirements will result in the removal from the 
competition as FLETC reserves...</w:t>
            </w:r>
          </w:p>
          <w:p>
            <w:pPr>
              <w:pStyle w:val="ListParagraph"/>
              <w:numPr>
                <w:ilvl w:val="0"/>
                <w:numId w:val="2"/>
              </w:numPr>
            </w:pPr>
            <w:r>
              <w:rPr>
                <w:i w:val="false"/>
                <w:iCs w:val="false"/>
                <w:color w:val="000000"/>
                <w:sz w:val="20"/>
                <w:szCs w:val="20"/>
              </w:rPr>
              <w:t xml:space="preserve">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w:t>
            </w:r>
          </w:p>
          <w:p>
            <w:pPr>
              <w:pStyle w:val="ListParagraph"/>
              <w:numPr>
                <w:ilvl w:val="0"/>
                <w:numId w:val="2"/>
              </w:numPr>
            </w:pPr>
            <w:r>
              <w:rPr>
                <w:i w:val="false"/>
                <w:iCs w:val="false"/>
                <w:color w:val="000000"/>
                <w:sz w:val="20"/>
                <w:szCs w:val="20"/>
              </w:rPr>
              <w:t xml:space="preserve">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interface, embeds custom user control(s), embeds video or multimedia, uses 
proprietary or technical approaches such as, but not limited to, Flash or Asynchronous 
JavaScript and XML (AJAX) then “1194.21 Software” standards also apply to fulfill 
functional performance criteria.
36 CFR 1194.24 Video and Multimedia Products, applies to all video and multimedia 
products that are procured or developed under this work statement. Any video or 
multimedia presentation shall also comply with the software standards (1194.21) when 
the presentation is using a Web or Software application interface having user controls</w:t>
            </w:r>
          </w:p>
          <w:p>
            <w:pPr>
              <w:pStyle w:val="ListParagraph"/>
              <w:numPr>
                <w:ilvl w:val="0"/>
                <w:numId w:val="2"/>
              </w:numPr>
            </w:pPr>
            <w:r>
              <w:rPr>
                <w:i w:val="false"/>
                <w:iCs w:val="false"/>
                <w:color w:val="000000"/>
                <w:sz w:val="20"/>
                <w:szCs w:val="20"/>
              </w:rPr>
              <w:t xml:space="preserve">[REQ] 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▪Innovation and efficiency in achieving objectives.
▪Examples of past success in similar technical endeavors, including 
metrics or case studies where applicable.
oEvaluation Criteria:
▪The Government will assess the Offeror’s ability to meet or exceed 
the SOO requirements.
▪Proposals that lack sufficient detail or fail to address key 
requirements will be deemed non-compliant and disqualified.
3.Staffing Plan:
oOfferors shall provide a comprehensive staffing plan that includes:
▪Recruitment and retention strategies, particularly for rural or hard-
to-fill locations.
▪Succession planning for key roles to ensure continuity of</w:t>
            </w:r>
          </w:p>
          <w:p>
            <w:pPr>
              <w:pStyle w:val="ListParagraph"/>
              <w:numPr>
                <w:ilvl w:val="0"/>
                <w:numId w:val="2"/>
              </w:numPr>
            </w:pPr>
            <w:r>
              <w:rPr>
                <w:i w:val="false"/>
                <w:iCs w:val="false"/>
                <w:color w:val="000000"/>
                <w:sz w:val="20"/>
                <w:szCs w:val="20"/>
              </w:rPr>
              <w:t xml:space="preserve">[REQ] 158
Section 6 – Evaluation Factors For Award
Evaluation Process
Quotes shall be submitted in accordance with the instructions outlined. A quote will be 
rejected if the Contracting Officer determines that the quote does not materially comply 
with the instructions provided.
The Government is conducting a two-phased evaluation in accordance with FAR Part 8 
utilizing streamlined acquisition procedures. The Government intends to make a single 
award in support of this requirement to the responsible Quoter whose quote is the most 
advantageous and represents the best value to the Government, based on the Evaluation 
Factors defined. 
The Government will evaluate Phase I and Phase II as listed in the table below.  After the 
Government completes the evaluation of Phase I, an advisory notification letter via e-mail 
with the advisory recommendation to proceed or not to proceed to Phase II will be sent.  
Quoters that are the most highly rated for Phase 1 will be advised to proceed to Phase II. 
Quoters not among the most highly rated, will be advised that they are unlikely to be 
viable competitors. The intent of this advice is to minimize development costs for those 
with little to no chance of receiving an award. The Government’s advice will be a 
recommendation only, and those who are advised not to proceed may elect to continue.
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this solicitation. Additionally, a Quoter’s 
decision not to participate in Phase II of the procurement precludes further consideration 
of a Quoter and renders them ineligible for award.</w:t>
            </w:r>
          </w:p>
          <w:p>
            <w:pPr>
              <w:pStyle w:val="ListParagraph"/>
              <w:numPr>
                <w:ilvl w:val="0"/>
                <w:numId w:val="2"/>
              </w:numPr>
            </w:pPr>
            <w:r>
              <w:rPr>
                <w:i w:val="false"/>
                <w:iCs w:val="false"/>
                <w:color w:val="000000"/>
                <w:sz w:val="20"/>
                <w:szCs w:val="20"/>
              </w:rPr>
              <w:t xml:space="preserve">[REQ] 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▪Objective Summary: A clear statement of the goals and 
objectives of the contract.
▪Technical Approach: Detailed methodologies and strategies for 
meeting requirements.
▪Performance Metrics and Standards: Proposed metrics to 
measure success and ensure quality.
▪Roles and Responsibilities: Identification of key personnel and 
their roles.
▪Risk Mitigation Strategies: Identification of potential risks and 
proposed mitigation plans.
oEvaluation Criteria:
▪The Government will evaluate the Offeror’s understanding of the 
SOO objectives, the feasibility of their approach, and the clarity of 
their performance metrics.
7.Price Proposal 
oOfferors shall submit pricing information as a separate Excel document. 
The price proposal will be evaluated for:
▪Reasonableness: Alignment with market rates and the scope of</w:t>
            </w:r>
          </w:p>
          <w:p>
            <w:pPr>
              <w:pStyle w:val="ListParagraph"/>
              <w:numPr>
                <w:ilvl w:val="0"/>
                <w:numId w:val="2"/>
              </w:numPr>
            </w:pPr>
            <w:r>
              <w:rPr>
                <w:i w:val="false"/>
                <w:iCs w:val="false"/>
                <w:color w:val="000000"/>
                <w:sz w:val="20"/>
                <w:szCs w:val="20"/>
              </w:rPr>
              <w:t xml:space="preserve">[REQ] Participate in formal OPSEC classroom and/or CBT and briefings, as required.
The Contractor will coordinate with Project Coordinators, e.g., FMD, and OSPR/OPS the 
conduct of OPSEC reviews, assessments, and evaluations of FLETC contractor products 
designated for external distribution or publication to include television, radio, film, video, 
print, photography, and electronic products, for those assigned contracts.
As applicable, the Contractor will ensure that all subordinate Contractor and 
subcontractor personnel will participate with these reviews, surveys, assessments, 
development of countermeasures, etc., for their respective organization.
The Contractor will ensure documentation of individual Contractor and subcontractor 
personnel attendance at OPSEC briefings and training occurs by following established 
training documentation procedures, as applicable. Submit all applicable Contractor 
OPSEC training documentation to the respective COR.
H.34 Information Technology And Data Security Requirements (Updated July 2013 
OSPR)
General Requirements: All Contractor and subcontractor personnel in the performance of 
this contract requiring access to FLETC information technology (IT) systems or sensitive 
data shall abide by all FLETC IT security regulations which may be in effect during the 
contract period. Any such individual(s) shall be subject to those checks which may be 
deemed necessary by FLETC to ensure that no violations occur. It shall be the 
Contractor's responsibility to ensure that all Contractor and subcontractor personnel who 
are expected to have access to FLETC-owned or -operated IT systems or IT systems 
contracted on behalf of FLETC that contain. 
FLETC sensitive data or information, undergo or have undergone an appropriate 
suitability background investigation. The type of background investigation that is 
conducted is based on FLETC's assessment of risk of the contractor's position. Positions 
may be categorized as either IT or non-IT and based on the risk (i.e., low, moderate) to 
public trust. 
Determination of Contractor and subcontractor personnel IT access needs must be 
coordinated with the COR. IT system and data suitability background investigation 
requirements may be greater than those requirements for physical security access to 
FLETC facilities. Suitability background investigation processes for physical security 
access will be followed as contained in this Section H. Temporary IT system and data 
access will only be permitted for non-sensitive IT systems and data. For Contractor and 
subcontractor personnel who will require admittance to FLETC facilities and/or are being 
given access to FLETC SBU information that includes, Personnel Identity Information 
(PII), Protected critical Infrastructure Information (PCII), Sensitive Security Information 
(SSI), FOUO, or IT resources, will be required to undergo a background investigation 
even if they work for less than six months. Depending on the risk level, the background</w:t>
            </w:r>
          </w:p>
          <w:p>
            <w:pPr>
              <w:pStyle w:val="ListParagraph"/>
              <w:numPr>
                <w:ilvl w:val="0"/>
                <w:numId w:val="2"/>
              </w:numPr>
            </w:pPr>
            <w:r>
              <w:rPr>
                <w:i w:val="false"/>
                <w:iCs w:val="false"/>
                <w:color w:val="000000"/>
                <w:sz w:val="20"/>
                <w:szCs w:val="20"/>
              </w:rPr>
              <w:t xml:space="preserve">[REQ] 106
In addition to IT Security Awareness training, the Contractor shall provide Contractor 
and subcontractor personnel performing significant IT security responsibilities under this 
contract with specific role-based training prescribed in Appendix A of the FLETC IT 
Security Awareness, Training and Education Plan.
H.34.2   IT Access
The Contractor shall sign the prescribed Rules of Behavior before access to FLETC IT 
systems will be granted. The Contractor consents to monitoring for compliance and other 
lawful purposes while using a FLETC-issued account.
H.34.3    Contractor IT Security Plan
The Contractor shall provide, implement and maintain an IT Security Plan. The plan shall 
be delivered to the CO in accordance with HSAR 3052.204-70, Security Requirements 
for Unclassified Information Technology Resources for Government approval within 5 
days upon contract award. Upon Government approval the plan will be incorporated into 
the contract as a compliance document.
H.34.4   Interconnection Security Agreements 
Interconnections between FLETC and non-FLETC IT systems shall be established only 
through controlled interfaces and via approved service providers. The controlled 
interfaces shall be accredited at the highest security level of information on the network. 
Connections with other Federal agencies shall be documented based on interagency 
agreements, memoranda of understanding, service level agreements or interconnection 
security agreements.
H.34.5   Information Security Standards Applicable to this Contract
DHS Sensitive Systems Policy Directive 4300A, version 13.02, September 2022, or 
subsequent publication.
H.34.6   Section 508 Compliance
Section 508 of the Rehabilitation Act, as amended by the Workforce Investment Act of 
1998 (P.L. 105-220) requires that when Federal agencies develop, procure, maintain, or 
use electronic and information technology, they must ensure that it is accessible to people 
with disabilities. Federal employees and members of the public who have disabilities 
must have equal access to and use of information and data that is comparable to that 
enjoyed by non-disabled Federal employees and members of the public.
All EIT deliverables within this work statement shall comply with the applicable 
technical and functional performance criteria of Section 508 unless exempt.
Specifically, the following applicable standards have been identified:</w:t>
            </w:r>
          </w:p>
          <w:p>
            <w:pPr>
              <w:pStyle w:val="ListParagraph"/>
              <w:numPr>
                <w:ilvl w:val="0"/>
                <w:numId w:val="2"/>
              </w:numPr>
            </w:pPr>
            <w:r>
              <w:rPr>
                <w:i w:val="false"/>
                <w:iCs w:val="false"/>
                <w:color w:val="000000"/>
                <w:sz w:val="20"/>
                <w:szCs w:val="20"/>
              </w:rPr>
              <w:t xml:space="preserve">[REQ] 36 CFR 1194.26 – Desktop and Portable Computers, applies to all desktop and portable 
computers, including but not limited to laptops and personal data assistants (PDA) that 
are procured or developed under this work statement.
36 CFR 1194.31 – Functional Performance Criteria applies to all EIT deliverables 
regardless of delivery method. All EIT deliverable shall use technical standards, 
regardless of technology, to fulfill the functional performance criteria.
36 CFR 1194.41 – Information Documentation and Support, applies to all documents, 
reports, as well as help and support services. To ensure that documents and reports fulfill 
the required “1194.31 Functional Performance Criteria”, they shall comply with the 
technical standard associated with Web- based Intranet and Internet Information and 
Applications at a minimum. In addition, any help or support provided in this work 
statement that offer telephone support, such as, but not limited to, a help desk shall have 
the ability to transmit and receive messages using TTY.
Exceptions for this work statement have been determined by DHS and only the 
exceptions described herein may be applied. Any request for additional exceptions shall 
be sent to the COR and determination will be made in accordance with DHS MD 4010.2. 
DHS has identified the following exceptions that may apply:
36 CFR 1194.2(b) – (COTS/GOTS products), When procuring a product, each agency 
shall procure products that comply with the provisions in this part when such products are 
available in the commercial marketplace or when such products are developed in 
response to a Government solicitation. Agencies cannot claim a product as a whole is not</w:t>
            </w:r>
          </w:p>
          <w:p>
            <w:pPr>
              <w:pStyle w:val="ListParagraph"/>
              <w:numPr>
                <w:ilvl w:val="0"/>
                <w:numId w:val="2"/>
              </w:numPr>
            </w:pPr>
            <w:r>
              <w:rPr>
                <w:i w:val="false"/>
                <w:iCs w:val="false"/>
                <w:color w:val="000000"/>
                <w:sz w:val="20"/>
                <w:szCs w:val="20"/>
              </w:rPr>
              <w:t xml:space="preserve">[REQ] Is protected at all times by procedures established for information that have been 
specifically authorized under criteria established by an Executive order or an Act of 
Congress to be kept classified in the interest of national defense or foreign policy.
Roaming means cellular communications services (e.g., voice, video, data) received from 
a visited network when unable to connect to the facilities of the home network either 
because signal coverage is too weak or because traffic is too high.
Sensitive compartmented information means classified information concerning or derived 
from intelligence sources, methods, or analytical processes, which is required to be 
handled within formal access control systems established by the Director of National 
Intelligence.
Sensitive compartmented information system means a national security system 
authorized to process or store sensitive compartmented information.
Source means a non-Federal supplier, or potential supplier, of products or services, at any</w:t>
            </w:r>
          </w:p>
          <w:p>
            <w:pPr>
              <w:pStyle w:val="ListParagraph"/>
              <w:numPr>
                <w:ilvl w:val="0"/>
                <w:numId w:val="2"/>
              </w:numPr>
            </w:pPr>
            <w:r>
              <w:rPr>
                <w:i w:val="false"/>
                <w:iCs w:val="false"/>
                <w:color w:val="000000"/>
                <w:sz w:val="20"/>
                <w:szCs w:val="20"/>
              </w:rPr>
              <w:t xml:space="preserve">[REQ] 100
Reporting. The Contractor shall deliver to the CO a Security Training List within the first 
30 days of performance, and semi-annually on the first day of October and April. The 
Security Training List shall be provided in Microsoft Excel format, and include - 
Company Name, Contract Number, Employee Name, Date Employee Reports on Center, 
and Date of Training. The standardized format is attached.
Certification. The Contractor shall certify information submitted on the Security Training 
List is accurate. The Contractor shall designate an authorized representative for 
certification purposes.
H.32  Access To Unclassified Facilities, Information Technology Resources, And 
Sensitive Information Requirement (Updated July 2013 OSPR)
The assurance of the security of unclassified facilities, IT resources, and sensitive 
information during the acquisition process and contract performance are essential to the 
DHS mission. DHS Directive 11042.1, Safeguarding Sensitive But Unclassified (For 
Official Use Only) Information, describes how Contractors must handle sensitive but 
unclassified information. The DHS Sensitive Systems Handbook prescribes policies and 
procedures on security for IT resources. The Contractor shall comply with these policies 
and procedures, any replacement publications, or any other current or future DHS 
policies and procedures covering Contractors specifically for all Delivery Orders that 
require access to DHS facilities, IT resources or sensitive information. The Contractor 
shall not use or redistribute any DHS information processed, stored, or transmitted by the 
Contractor except as specified in the Delivery Order.
The Government will provide the Contractor with access to existing system.
Sensitive Information, means any information, the loss, misuse, disclosure, or 
unauthorized access to or modification of which could adversely affect the national or 
homeland security interest, or the conduct of Federal programs, or the privacy to which 
individuals are entitled under Section 552a of Title 5, United States Code (the Privacy 
Act), but which has not been specifically authorized under criteria established by an EO 
or an Act of Congress to be kept secret in the interest of national defense, homeland 
security or foreign policy. This definition includes but is not limited to the following 
categories of information:</w:t>
            </w:r>
          </w:p>
          <w:p>
            <w:pPr>
              <w:pStyle w:val="ListParagraph"/>
              <w:numPr>
                <w:ilvl w:val="0"/>
                <w:numId w:val="2"/>
              </w:numPr>
            </w:pPr>
            <w:r>
              <w:rPr>
                <w:i w:val="false"/>
                <w:iCs w:val="false"/>
                <w:color w:val="000000"/>
                <w:sz w:val="20"/>
                <w:szCs w:val="20"/>
              </w:rPr>
              <w:t xml:space="preserve">[REQ] 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this solicitation. Additionally, a Quoter’s 
decision not to participate in Phase II of the procurement precludes further consideration 
of a Quoter and renders them ineligible for award.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SEC-TECH-2. Methodology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SECTION L - INSTRUCTIONS</w:t>
            </w:r>
          </w:p>
          <w:p>
            <w:pPr>
              <w:pStyle w:val="ListParagraph"/>
              <w:numPr>
                <w:ilvl w:val="0"/>
                <w:numId w:val="2"/>
              </w:numPr>
            </w:pPr>
            <w:r>
              <w:rPr>
                <w:i w:val="false"/>
                <w:iCs w:val="false"/>
                <w:color w:val="000000"/>
                <w:sz w:val="20"/>
                <w:szCs w:val="20"/>
              </w:rPr>
              <w:t xml:space="preserve">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w:t>
            </w:r>
          </w:p>
          <w:p>
            <w:pPr>
              <w:pStyle w:val="ListParagraph"/>
              <w:numPr>
                <w:ilvl w:val="0"/>
                <w:numId w:val="2"/>
              </w:numPr>
            </w:pPr>
            <w:r>
              <w:rPr>
                <w:i w:val="false"/>
                <w:iCs w:val="false"/>
                <w:color w:val="000000"/>
                <w:sz w:val="20"/>
                <w:szCs w:val="20"/>
              </w:rPr>
              <w:t xml:space="preserve">159
The Government will not conduct discussions as part of the Phase I Advisory Down-
Select. The Government does not intend to provide debriefings after the completion of the 
advisory notifications. Failure to participate in Phase I precludes further consideration of 
a Quoter.
Failure to comply with the solicitation requirements will result in the removal from the 
competition as FLETC reserves the right to eliminate quotes that do not conform. Quotes 
will be reviewed to ensure that all term...</w:t>
            </w:r>
          </w:p>
          <w:p>
            <w:pPr>
              <w:pStyle w:val="ListParagraph"/>
              <w:numPr>
                <w:ilvl w:val="0"/>
                <w:numId w:val="2"/>
              </w:numPr>
            </w:pPr>
            <w:r>
              <w:rPr>
                <w:i w:val="false"/>
                <w:iCs w:val="false"/>
                <w:color w:val="000000"/>
                <w:sz w:val="20"/>
                <w:szCs w:val="20"/>
              </w:rPr>
              <w:t xml:space="preserve">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▪Innovation and efficiency in achieving objectives.
▪Examples of past success in similar technical en...</w:t>
            </w:r>
          </w:p>
          <w:p>
            <w:pPr>
              <w:pStyle w:val="ListParagraph"/>
              <w:numPr>
                <w:ilvl w:val="0"/>
                <w:numId w:val="2"/>
              </w:numPr>
            </w:pPr>
            <w:r>
              <w:rPr>
                <w:i w:val="false"/>
                <w:iCs w:val="false"/>
                <w:color w:val="000000"/>
                <w:sz w:val="20"/>
                <w:szCs w:val="20"/>
              </w:rPr>
              <w:t xml:space="preserve">▪Training and development programs to ensure staff are equipped to 
meet technical and security requirements.
▪Strategies to minimize turnover and ensure knowledge transfer.
▪A detailed organizational chart showing key personnel and 
reporting structures.
oEvaluation Criteria:
▪The Government will evaluate the Offeror’s ability to provide a 
qualified and stable workforce capable of meeting the contract 
requirements.</w:t>
            </w:r>
          </w:p>
          <w:p>
            <w:pPr>
              <w:pStyle w:val="ListParagraph"/>
              <w:numPr>
                <w:ilvl w:val="0"/>
                <w:numId w:val="2"/>
              </w:numPr>
            </w:pPr>
            <w:r>
              <w:rPr>
                <w:i w:val="false"/>
                <w:iCs w:val="false"/>
                <w:color w:val="000000"/>
                <w:sz w:val="20"/>
                <w:szCs w:val="20"/>
              </w:rPr>
              <w:t xml:space="preserve">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▪Objective Summary: A clear statement of the goals and 
objectives of the contract.
▪Technical Appro...</w:t>
            </w:r>
          </w:p>
          <w:p>
            <w:pPr>
              <w:pStyle w:val="ListParagraph"/>
              <w:numPr>
                <w:ilvl w:val="0"/>
                <w:numId w:val="2"/>
              </w:numPr>
            </w:pPr>
            <w:r>
              <w:rPr>
                <w:i w:val="false"/>
                <w:iCs w:val="false"/>
                <w:color w:val="000000"/>
                <w:sz w:val="20"/>
                <w:szCs w:val="20"/>
              </w:rPr>
              <w:t xml:space="preserve">These issues may include technical and price. If the parties cannot successfully 
address any remaining issues, as determined pertinent at the sole discretion of the 
Government, the Government reserves the right to communicate with the next best-suited 
quoter based on the original analysis and address any remaining issues. Once the 
Government has begun communications with the next best-suited quoter, no further 
communications with the previous quoter will be entertained until after the task ...</w:t>
            </w:r>
          </w:p>
          <w:p>
            <w:pPr>
              <w:pStyle w:val="ListParagraph"/>
              <w:numPr>
                <w:ilvl w:val="0"/>
                <w:numId w:val="2"/>
              </w:numPr>
            </w:pPr>
            <w:r>
              <w:rPr>
                <w:i w:val="false"/>
                <w:iCs w:val="false"/>
                <w:color w:val="000000"/>
                <w:sz w:val="20"/>
                <w:szCs w:val="20"/>
              </w:rPr>
              <w:t xml:space="preserve">[REQ] Participate in formal OPSEC classroom and/or CBT and briefings, as required.
The Contractor will coordinate with Project Coordinators, e.g., FMD, and OSPR/OPS the 
conduct of OPSEC reviews, assessments, and evaluations of FLETC contractor products 
designated for external distribution or publication to include television, radio, film, video, 
print, photography, and electronic products, for those ...</w:t>
            </w:r>
          </w:p>
          <w:p>
            <w:pPr>
              <w:pStyle w:val="ListParagraph"/>
              <w:numPr>
                <w:ilvl w:val="0"/>
                <w:numId w:val="2"/>
              </w:numPr>
            </w:pPr>
            <w:r>
              <w:rPr>
                <w:i w:val="false"/>
                <w:iCs w:val="false"/>
                <w:color w:val="000000"/>
                <w:sz w:val="20"/>
                <w:szCs w:val="20"/>
              </w:rPr>
              <w:t xml:space="preserve">[REQ] 106
In addition to IT Security Awareness training, the Contractor shall provide Contractor 
and subcontractor personnel performing significant IT security responsibilities under this 
contract with specific role-based training prescribed in Appendix A of the FLETC IT 
Security Awareness, Training and Education Plan.
H.34.2   IT Access
The Contractor shall sign the prescribed Rules of Behavior befo...</w:t>
            </w:r>
          </w:p>
          <w:p>
            <w:pPr>
              <w:pStyle w:val="ListParagraph"/>
              <w:numPr>
                <w:ilvl w:val="0"/>
                <w:numId w:val="2"/>
              </w:numPr>
            </w:pPr>
            <w:r>
              <w:rPr>
                <w:i w:val="false"/>
                <w:iCs w:val="false"/>
                <w:color w:val="000000"/>
                <w:sz w:val="20"/>
                <w:szCs w:val="20"/>
              </w:rPr>
              <w:t xml:space="preserve">[REQ] interface, embeds custom user control(s), embeds video or multimedia, uses 
proprietary or technical approaches such as, but not limited to, Flash or Asynchronous 
JavaScript and XML (AJAX) then “1194.21 Software” standards also apply to fulfill 
functional performance criteria.
36 CFR 1194.24 Video and Multimedia Products, applies to all video and multimedia 
products that are procured or develop...</w:t>
            </w:r>
          </w:p>
          <w:p>
            <w:pPr>
              <w:pStyle w:val="ListParagraph"/>
              <w:numPr>
                <w:ilvl w:val="0"/>
                <w:numId w:val="2"/>
              </w:numPr>
            </w:pPr>
            <w:r>
              <w:rPr>
                <w:i w:val="false"/>
                <w:iCs w:val="false"/>
                <w:color w:val="000000"/>
                <w:sz w:val="20"/>
                <w:szCs w:val="20"/>
              </w:rPr>
              <w:t xml:space="preserve">[REQ] 36 CFR 1194.26 – Desktop and Portable Computers, applies to all desktop and portable 
computers, including but not limited to laptops and personal data assistants (PDA) that 
are procured or developed under this work statement.
36 CFR 1194.31 – Functional Performance Criteria applies to all EIT deliverables 
regardless of delivery method. All EIT deliverable shall use technical standards, 
regardl...</w:t>
            </w:r>
          </w:p>
          <w:p>
            <w:pPr>
              <w:pStyle w:val="ListParagraph"/>
              <w:numPr>
                <w:ilvl w:val="0"/>
                <w:numId w:val="2"/>
              </w:numPr>
            </w:pPr>
            <w:r>
              <w:rPr>
                <w:i w:val="false"/>
                <w:iCs w:val="false"/>
                <w:color w:val="000000"/>
                <w:sz w:val="20"/>
                <w:szCs w:val="20"/>
              </w:rPr>
              <w:t xml:space="preserve">[REQ] All forms must be completed in their entirety by all Contractor and subcontractor 
personnel subject to the requirement. If the background investigation results in an 
unfavorable adjudication, the individual will be denied access to FLETC IT systems and 
sensitive data. Examples of offenses which could prevent access to FLETC IT systems 
and sensitive data include but are not limited to any felon...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0C0" w:sz="1"/>
              <w:left w:val="single" w:color="0070C0" w:sz="1"/>
              <w:bottom w:val="single" w:color="0070C0" w:sz="1"/>
              <w:right w:val="single" w:color="0070C0" w:sz="1"/>
            </w:tcBorders>
            <w:shd w:fill="D6E3F8" w:val="clear"/>
          </w:tcPr>
          <w:p>
            <w:pPr>
              <w:spacing w:after="80"/>
            </w:pPr>
            <w:r>
              <w:rPr>
                <w:b/>
                <w:bCs/>
                <w:color w:val="0070C0"/>
                <w:sz w:val="18"/>
                <w:szCs w:val="18"/>
                <w:smallCaps/>
              </w:rPr>
              <w:t xml:space="preserve">SECTION M - EVALUATION CRITERIA</w:t>
            </w:r>
          </w:p>
          <w:p>
            <w:pPr>
              <w:pStyle w:val="ListParagraph"/>
              <w:numPr>
                <w:ilvl w:val="0"/>
                <w:numId w:val="2"/>
              </w:numPr>
            </w:pPr>
            <w:r>
              <w:rPr>
                <w:i w:val="false"/>
                <w:iCs w:val="false"/>
                <w:color w:val="000000"/>
                <w:sz w:val="20"/>
                <w:szCs w:val="20"/>
              </w:rPr>
              <w:t xml:space="preserve">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w:t>
            </w:r>
          </w:p>
          <w:p>
            <w:pPr>
              <w:pStyle w:val="ListParagraph"/>
              <w:numPr>
                <w:ilvl w:val="0"/>
                <w:numId w:val="2"/>
              </w:numPr>
            </w:pPr>
            <w:r>
              <w:rPr>
                <w:i w:val="false"/>
                <w:iCs w:val="false"/>
                <w:color w:val="000000"/>
                <w:sz w:val="20"/>
                <w:szCs w:val="20"/>
              </w:rPr>
              <w:t xml:space="preserve">159
The Government will not conduct discussions as part of the Phase I Advisory Down-
Select. The Government does not intend to provide debriefings after the completion of the 
advisory notifications. Failure to participate in Phase I precludes further consideration of 
a Quoter.
Failure to comply with the solicitation requirements will result in the removal from the 
competition as FLETC reserves...</w:t>
            </w:r>
          </w:p>
          <w:p>
            <w:pPr>
              <w:pStyle w:val="ListParagraph"/>
              <w:numPr>
                <w:ilvl w:val="0"/>
                <w:numId w:val="2"/>
              </w:numPr>
            </w:pPr>
            <w:r>
              <w:rPr>
                <w:i w:val="false"/>
                <w:iCs w:val="false"/>
                <w:color w:val="000000"/>
                <w:sz w:val="20"/>
                <w:szCs w:val="20"/>
              </w:rPr>
              <w:t xml:space="preserve">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w:t>
            </w:r>
          </w:p>
          <w:p>
            <w:pPr>
              <w:pStyle w:val="ListParagraph"/>
              <w:numPr>
                <w:ilvl w:val="0"/>
                <w:numId w:val="2"/>
              </w:numPr>
            </w:pPr>
            <w:r>
              <w:rPr>
                <w:i w:val="false"/>
                <w:iCs w:val="false"/>
                <w:color w:val="000000"/>
                <w:sz w:val="20"/>
                <w:szCs w:val="20"/>
              </w:rPr>
              <w:t xml:space="preserve">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interface, embeds custom user control(s), embeds video or multimedia, uses 
proprietary or technical approaches such as, but not limited to, Flash or Asynchronous 
JavaScript and XML (AJAX) then “1194.21 Software” standards also apply to fulfill 
functional performance criteria.
36 CFR 1194.24 Video and Multimedia Products, applies to all video and multimedia 
products that are procured or developed under this work statement. Any video or 
multimedia presentation shall also comply with the software standards (1194.21) when 
the presentation is using a Web or Software application interface having user controls</w:t>
            </w:r>
          </w:p>
          <w:p>
            <w:pPr>
              <w:pStyle w:val="ListParagraph"/>
              <w:numPr>
                <w:ilvl w:val="0"/>
                <w:numId w:val="2"/>
              </w:numPr>
            </w:pPr>
            <w:r>
              <w:rPr>
                <w:i w:val="false"/>
                <w:iCs w:val="false"/>
                <w:color w:val="000000"/>
                <w:sz w:val="20"/>
                <w:szCs w:val="20"/>
              </w:rPr>
              <w:t xml:space="preserve">[REQ] 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▪Innovation and efficiency in achieving objectives.
▪Examples of past success in similar technical endeavors, including 
metrics or case studies where applicable.
oEvaluation Criteria:
▪The Government will assess the Offeror’s ability to meet or exceed 
the SOO requirements.
▪Proposals that lack sufficient detail or fail to address key 
requirements will be deemed non-compliant and disqualified.
3.Staffing Plan:
oOfferors shall provide a comprehensive staffing plan that includes:
▪Recruitment and retention strategies, particularly for rural or hard-
to-fill locations.
▪Succession planning for key roles to ensure continuity of</w:t>
            </w:r>
          </w:p>
          <w:p>
            <w:pPr>
              <w:pStyle w:val="ListParagraph"/>
              <w:numPr>
                <w:ilvl w:val="0"/>
                <w:numId w:val="2"/>
              </w:numPr>
            </w:pPr>
            <w:r>
              <w:rPr>
                <w:i w:val="false"/>
                <w:iCs w:val="false"/>
                <w:color w:val="000000"/>
                <w:sz w:val="20"/>
                <w:szCs w:val="20"/>
              </w:rPr>
              <w:t xml:space="preserve">[REQ] 158
Section 6 – Evaluation Factors For Award
Evaluation Process
Quotes shall be submitted in accordance with the instructions outlined. A quote will be 
rejected if the Contracting Officer determines that the quote does not materially comply 
with the instructions provided.
The Government is conducting a two-phased evaluation in accordance with FAR Part 8 
utilizing streamlined acquisition procedures. The Government intends to make a single 
award in support of this requirement to the responsible Quoter whose quote is the most 
advantageous and represents the best value to the Government, based on the Evaluation 
Factors defined. 
The Government will evaluate Phase I and Phase II as listed in the table below.  After the 
Government completes the evaluation of Phase I, an advisory notification letter via e-mail 
with the advisory recommendation to proceed or not to proceed to Phase II will be sent.  
Quoters that are the most highly rated for Phase 1 will be advised to proceed to Phase II. 
Quoters not among the most highly rated, will be advised that they are unlikely to be 
viable competitors. The intent of this advice is to minimize development costs for those 
with little to no chance of receiving an award. The Government’s advice will be a 
recommendation only, and those who are advised not to proceed may elect to continue.
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this solicitation. Additionally, a Quoter’s 
decision not to participate in Phase II of the procurement precludes further consideration 
of a Quoter and renders them ineligible for award.</w:t>
            </w:r>
          </w:p>
          <w:p>
            <w:pPr>
              <w:pStyle w:val="ListParagraph"/>
              <w:numPr>
                <w:ilvl w:val="0"/>
                <w:numId w:val="2"/>
              </w:numPr>
            </w:pPr>
            <w:r>
              <w:rPr>
                <w:i w:val="false"/>
                <w:iCs w:val="false"/>
                <w:color w:val="000000"/>
                <w:sz w:val="20"/>
                <w:szCs w:val="20"/>
              </w:rPr>
              <w:t xml:space="preserve">[REQ] 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▪Objective Summary: A clear statement of the goals and 
objectives of the contract.
▪Technical Approach: Detailed methodologies and strategies for 
meeting requirements.
▪Performance Metrics and Standards: Proposed metrics to 
measure success and ensure quality.
▪Roles and Responsibilities: Identification of key personnel and 
their roles.
▪Risk Mitigation Strategies: Identification of potential risks and 
proposed mitigation plans.
oEvaluation Criteria:
▪The Government will evaluate the Offeror’s understanding of the 
SOO objectives, the feasibility of their approach, and the clarity of 
their performance metrics.
7.Price Proposal 
oOfferors shall submit pricing information as a separate Excel document. 
The price proposal will be evaluated for:
▪Reasonableness: Alignment with market rates and the scope of</w:t>
            </w:r>
          </w:p>
          <w:p>
            <w:pPr>
              <w:pStyle w:val="ListParagraph"/>
              <w:numPr>
                <w:ilvl w:val="0"/>
                <w:numId w:val="2"/>
              </w:numPr>
            </w:pPr>
            <w:r>
              <w:rPr>
                <w:i w:val="false"/>
                <w:iCs w:val="false"/>
                <w:color w:val="000000"/>
                <w:sz w:val="20"/>
                <w:szCs w:val="20"/>
              </w:rPr>
              <w:t xml:space="preserve">[REQ] Participate in formal OPSEC classroom and/or CBT and briefings, as required.
The Contractor will coordinate with Project Coordinators, e.g., FMD, and OSPR/OPS the 
conduct of OPSEC reviews, assessments, and evaluations of FLETC contractor products 
designated for external distribution or publication to include television, radio, film, video, 
print, photography, and electronic products, for those assigned contracts.
As applicable, the Contractor will ensure that all subordinate Contractor and 
subcontractor personnel will participate with these reviews, surveys, assessments, 
development of countermeasures, etc., for their respective organization.
The Contractor will ensure documentation of individual Contractor and subcontractor 
personnel attendance at OPSEC briefings and training occurs by following established 
training documentation procedures, as applicable. Submit all applicable Contractor 
OPSEC training documentation to the respective COR.
H.34 Information Technology And Data Security Requirements (Updated July 2013 
OSPR)
General Requirements: All Contractor and subcontractor personnel in the performance of 
this contract requiring access to FLETC information technology (IT) systems or sensitive 
data shall abide by all FLETC IT security regulations which may be in effect during the 
contract period. Any such individual(s) shall be subject to those checks which may be 
deemed necessary by FLETC to ensure that no violations occur. It shall be the 
Contractor's responsibility to ensure that all Contractor and subcontractor personnel who 
are expected to have access to FLETC-owned or -operated IT systems or IT systems 
contracted on behalf of FLETC that contain. 
FLETC sensitive data or information, undergo or have undergone an appropriate 
suitability background investigation. The type of background investigation that is 
conducted is based on FLETC's assessment of risk of the contractor's position. Positions 
may be categorized as either IT or non-IT and based on the risk (i.e., low, moderate) to 
public trust. 
Determination of Contractor and subcontractor personnel IT access needs must be 
coordinated with the COR. IT system and data suitability background investigation 
requirements may be greater than those requirements for physical security access to 
FLETC facilities. Suitability background investigation processes for physical security 
access will be followed as contained in this Section H. Temporary IT system and data 
access will only be permitted for non-sensitive IT systems and data. For Contractor and 
subcontractor personnel who will require admittance to FLETC facilities and/or are being 
given access to FLETC SBU information that includes, Personnel Identity Information 
(PII), Protected critical Infrastructure Information (PCII), Sensitive Security Information 
(SSI), FOUO, or IT resources, will be required to undergo a background investigation 
even if they work for less than six months. Depending on the risk level, the background</w:t>
            </w:r>
          </w:p>
          <w:p>
            <w:pPr>
              <w:pStyle w:val="ListParagraph"/>
              <w:numPr>
                <w:ilvl w:val="0"/>
                <w:numId w:val="2"/>
              </w:numPr>
            </w:pPr>
            <w:r>
              <w:rPr>
                <w:i w:val="false"/>
                <w:iCs w:val="false"/>
                <w:color w:val="000000"/>
                <w:sz w:val="20"/>
                <w:szCs w:val="20"/>
              </w:rPr>
              <w:t xml:space="preserve">[REQ] 106
In addition to IT Security Awareness training, the Contractor shall provide Contractor 
and subcontractor personnel performing significant IT security responsibilities under this 
contract with specific role-based training prescribed in Appendix A of the FLETC IT 
Security Awareness, Training and Education Plan.
H.34.2   IT Access
The Contractor shall sign the prescribed Rules of Behavior before access to FLETC IT 
systems will be granted. The Contractor consents to monitoring for compliance and other 
lawful purposes while using a FLETC-issued account.
H.34.3    Contractor IT Security Plan
The Contractor shall provide, implement and maintain an IT Security Plan. The plan shall 
be delivered to the CO in accordance with HSAR 3052.204-70, Security Requirements 
for Unclassified Information Technology Resources for Government approval within 5 
days upon contract award. Upon Government approval the plan will be incorporated into 
the contract as a compliance document.
H.34.4   Interconnection Security Agreements 
Interconnections between FLETC and non-FLETC IT systems shall be established only 
through controlled interfaces and via approved service providers. The controlled 
interfaces shall be accredited at the highest security level of information on the network. 
Connections with other Federal agencies shall be documented based on interagency 
agreements, memoranda of understanding, service level agreements or interconnection 
security agreements.
H.34.5   Information Security Standards Applicable to this Contract
DHS Sensitive Systems Policy Directive 4300A, version 13.02, September 2022, or 
subsequent publication.
H.34.6   Section 508 Compliance
Section 508 of the Rehabilitation Act, as amended by the Workforce Investment Act of 
1998 (P.L. 105-220) requires that when Federal agencies develop, procure, maintain, or 
use electronic and information technology, they must ensure that it is accessible to people 
with disabilities. Federal employees and members of the public who have disabilities 
must have equal access to and use of information and data that is comparable to that 
enjoyed by non-disabled Federal employees and members of the public.
All EIT deliverables within this work statement shall comply with the applicable 
technical and functional performance criteria of Section 508 unless exempt.
Specifically, the following applicable standards have been identified:</w:t>
            </w:r>
          </w:p>
          <w:p>
            <w:pPr>
              <w:pStyle w:val="ListParagraph"/>
              <w:numPr>
                <w:ilvl w:val="0"/>
                <w:numId w:val="2"/>
              </w:numPr>
            </w:pPr>
            <w:r>
              <w:rPr>
                <w:i w:val="false"/>
                <w:iCs w:val="false"/>
                <w:color w:val="000000"/>
                <w:sz w:val="20"/>
                <w:szCs w:val="20"/>
              </w:rPr>
              <w:t xml:space="preserve">[REQ] 36 CFR 1194.26 – Desktop and Portable Computers, applies to all desktop and portable 
computers, including but not limited to laptops and personal data assistants (PDA) that 
are procured or developed under this work statement.
36 CFR 1194.31 – Functional Performance Criteria applies to all EIT deliverables 
regardless of delivery method. All EIT deliverable shall use technical standards, 
regardless of technology, to fulfill the functional performance criteria.
36 CFR 1194.41 – Information Documentation and Support, applies to all documents, 
reports, as well as help and support services. To ensure that documents and reports fulfill 
the required “1194.31 Functional Performance Criteria”, they shall comply with the 
technical standard associated with Web- based Intranet and Internet Information and 
Applications at a minimum. In addition, any help or support provided in this work 
statement that offer telephone support, such as, but not limited to, a help desk shall have 
the ability to transmit and receive messages using TTY.
Exceptions for this work statement have been determined by DHS and only the 
exceptions described herein may be applied. Any request for additional exceptions shall 
be sent to the COR and determination will be made in accordance with DHS MD 4010.2. 
DHS has identified the following exceptions that may apply:
36 CFR 1194.2(b) – (COTS/GOTS products), When procuring a product, each agency 
shall procure products that comply with the provisions in this part when such products are 
available in the commercial marketplace or when such products are developed in 
response to a Government solicitation. Agencies cannot claim a product as a whole is not</w:t>
            </w:r>
          </w:p>
          <w:p>
            <w:pPr>
              <w:pStyle w:val="ListParagraph"/>
              <w:numPr>
                <w:ilvl w:val="0"/>
                <w:numId w:val="2"/>
              </w:numPr>
            </w:pPr>
            <w:r>
              <w:rPr>
                <w:i w:val="false"/>
                <w:iCs w:val="false"/>
                <w:color w:val="000000"/>
                <w:sz w:val="20"/>
                <w:szCs w:val="20"/>
              </w:rPr>
              <w:t xml:space="preserve">[REQ] Is protected at all times by procedures established for information that have been 
specifically authorized under criteria established by an Executive order or an Act of 
Congress to be kept classified in the interest of national defense or foreign policy.
Roaming means cellular communications services (e.g., voice, video, data) received from 
a visited network when unable to connect to the facilities of the home network either 
because signal coverage is too weak or because traffic is too high.
Sensitive compartmented information means classified information concerning or derived 
from intelligence sources, methods, or analytical processes, which is required to be 
handled within formal access control systems established by the Director of National 
Intelligence.
Sensitive compartmented information system means a national security system 
authorized to process or store sensitive compartmented information.
Source means a non-Federal supplier, or potential supplier, of products or services, at any</w:t>
            </w:r>
          </w:p>
          <w:p>
            <w:pPr>
              <w:pStyle w:val="ListParagraph"/>
              <w:numPr>
                <w:ilvl w:val="0"/>
                <w:numId w:val="2"/>
              </w:numPr>
            </w:pPr>
            <w:r>
              <w:rPr>
                <w:i w:val="false"/>
                <w:iCs w:val="false"/>
                <w:color w:val="000000"/>
                <w:sz w:val="20"/>
                <w:szCs w:val="20"/>
              </w:rPr>
              <w:t xml:space="preserve">[REQ] 100
Reporting. The Contractor shall deliver to the CO a Security Training List within the first 
30 days of performance, and semi-annually on the first day of October and April. The 
Security Training List shall be provided in Microsoft Excel format, and include - 
Company Name, Contract Number, Employee Name, Date Employee Reports on Center, 
and Date of Training. The standardized format is attached.
Certification. The Contractor shall certify information submitted on the Security Training 
List is accurate. The Contractor shall designate an authorized representative for 
certification purposes.
H.32  Access To Unclassified Facilities, Information Technology Resources, And 
Sensitive Information Requirement (Updated July 2013 OSPR)
The assurance of the security of unclassified facilities, IT resources, and sensitive 
information during the acquisition process and contract performance are essential to the 
DHS mission. DHS Directive 11042.1, Safeguarding Sensitive But Unclassified (For 
Official Use Only) Information, describes how Contractors must handle sensitive but 
unclassified information. The DHS Sensitive Systems Handbook prescribes policies and 
procedures on security for IT resources. The Contractor shall comply with these policies 
and procedures, any replacement publications, or any other current or future DHS 
policies and procedures covering Contractors specifically for all Delivery Orders that 
require access to DHS facilities, IT resources or sensitive information. The Contractor 
shall not use or redistribute any DHS information processed, stored, or transmitted by the 
Contractor except as specified in the Delivery Order.
The Government will provide the Contractor with access to existing system.
Sensitive Information, means any information, the loss, misuse, disclosure, or 
unauthorized access to or modification of which could adversely affect the national or 
homeland security interest, or the conduct of Federal programs, or the privacy to which 
individuals are entitled under Section 552a of Title 5, United States Code (the Privacy 
Act), but which has not been specifically authorized under criteria established by an EO 
or an Act of Congress to be kept secret in the interest of national defense, homeland 
security or foreign policy. This definition includes but is not limited to the following 
categories of information:</w:t>
            </w:r>
          </w:p>
          <w:p>
            <w:pPr>
              <w:pStyle w:val="ListParagraph"/>
              <w:numPr>
                <w:ilvl w:val="0"/>
                <w:numId w:val="2"/>
              </w:numPr>
            </w:pPr>
            <w:r>
              <w:rPr>
                <w:i w:val="false"/>
                <w:iCs w:val="false"/>
                <w:color w:val="000000"/>
                <w:sz w:val="20"/>
                <w:szCs w:val="20"/>
              </w:rPr>
              <w:t xml:space="preserve">[REQ] 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this solicitation. Additionally, a Quoter’s 
decision not to participate in Phase II of the procurement precludes further consideration 
of a Quoter and renders them ineligible for award.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SEC-TECH-3. Technical Solution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SECTION L - INSTRUCTIONS</w:t>
            </w:r>
          </w:p>
          <w:p>
            <w:pPr>
              <w:pStyle w:val="ListParagraph"/>
              <w:numPr>
                <w:ilvl w:val="0"/>
                <w:numId w:val="2"/>
              </w:numPr>
            </w:pPr>
            <w:r>
              <w:rPr>
                <w:i w:val="false"/>
                <w:iCs w:val="false"/>
                <w:color w:val="000000"/>
                <w:sz w:val="20"/>
                <w:szCs w:val="20"/>
              </w:rPr>
              <w:t xml:space="preserve">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w:t>
            </w:r>
          </w:p>
          <w:p>
            <w:pPr>
              <w:pStyle w:val="ListParagraph"/>
              <w:numPr>
                <w:ilvl w:val="0"/>
                <w:numId w:val="2"/>
              </w:numPr>
            </w:pPr>
            <w:r>
              <w:rPr>
                <w:i w:val="false"/>
                <w:iCs w:val="false"/>
                <w:color w:val="000000"/>
                <w:sz w:val="20"/>
                <w:szCs w:val="20"/>
              </w:rPr>
              <w:t xml:space="preserve">159
The Government will not conduct discussions as part of the Phase I Advisory Down-
Select. The Government does not intend to provide debriefings after the completion of the 
advisory notifications. Failure to participate in Phase I precludes further consideration of 
a Quoter.
Failure to comply with the solicitation requirements will result in the removal from the 
competition as FLETC reserves the right to eliminate quotes that do not conform. Quotes 
will be reviewed to ensure that all term...</w:t>
            </w:r>
          </w:p>
          <w:p>
            <w:pPr>
              <w:pStyle w:val="ListParagraph"/>
              <w:numPr>
                <w:ilvl w:val="0"/>
                <w:numId w:val="2"/>
              </w:numPr>
            </w:pPr>
            <w:r>
              <w:rPr>
                <w:i w:val="false"/>
                <w:iCs w:val="false"/>
                <w:color w:val="000000"/>
                <w:sz w:val="20"/>
                <w:szCs w:val="20"/>
              </w:rPr>
              <w:t xml:space="preserve">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▪Innovation and efficiency in achieving objectives.
▪Examples of past success in similar technical en...</w:t>
            </w:r>
          </w:p>
          <w:p>
            <w:pPr>
              <w:pStyle w:val="ListParagraph"/>
              <w:numPr>
                <w:ilvl w:val="0"/>
                <w:numId w:val="2"/>
              </w:numPr>
            </w:pPr>
            <w:r>
              <w:rPr>
                <w:i w:val="false"/>
                <w:iCs w:val="false"/>
                <w:color w:val="000000"/>
                <w:sz w:val="20"/>
                <w:szCs w:val="20"/>
              </w:rPr>
              <w:t xml:space="preserve">▪Training and development programs to ensure staff are equipped to 
meet technical and security requirements.
▪Strategies to minimize turnover and ensure knowledge transfer.
▪A detailed organizational chart showing key personnel and 
reporting structures.
oEvaluation Criteria:
▪The Government will evaluate the Offeror’s ability to provide a 
qualified and stable workforce capable of meeting the contract 
requirements.</w:t>
            </w:r>
          </w:p>
          <w:p>
            <w:pPr>
              <w:pStyle w:val="ListParagraph"/>
              <w:numPr>
                <w:ilvl w:val="0"/>
                <w:numId w:val="2"/>
              </w:numPr>
            </w:pPr>
            <w:r>
              <w:rPr>
                <w:i w:val="false"/>
                <w:iCs w:val="false"/>
                <w:color w:val="000000"/>
                <w:sz w:val="20"/>
                <w:szCs w:val="20"/>
              </w:rPr>
              <w:t xml:space="preserve">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▪Objective Summary: A clear statement of the goals and 
objectives of the contract.
▪Technical Appro...</w:t>
            </w:r>
          </w:p>
          <w:p>
            <w:pPr>
              <w:pStyle w:val="ListParagraph"/>
              <w:numPr>
                <w:ilvl w:val="0"/>
                <w:numId w:val="2"/>
              </w:numPr>
            </w:pPr>
            <w:r>
              <w:rPr>
                <w:i w:val="false"/>
                <w:iCs w:val="false"/>
                <w:color w:val="000000"/>
                <w:sz w:val="20"/>
                <w:szCs w:val="20"/>
              </w:rPr>
              <w:t xml:space="preserve">These issues may include technical and price. If the parties cannot successfully 
address any remaining issues, as determined pertinent at the sole discretion of the 
Government, the Government reserves the right to communicate with the next best-suited 
quoter based on the original analysis and address any remaining issues. Once the 
Government has begun communications with the next best-suited quoter, no further 
communications with the previous quoter will be entertained until after the task ...</w:t>
            </w:r>
          </w:p>
          <w:p>
            <w:pPr>
              <w:pStyle w:val="ListParagraph"/>
              <w:numPr>
                <w:ilvl w:val="0"/>
                <w:numId w:val="2"/>
              </w:numPr>
            </w:pPr>
            <w:r>
              <w:rPr>
                <w:i w:val="false"/>
                <w:iCs w:val="false"/>
                <w:color w:val="000000"/>
                <w:sz w:val="20"/>
                <w:szCs w:val="20"/>
              </w:rPr>
              <w:t xml:space="preserve">[REQ] Participate in formal OPSEC classroom and/or CBT and briefings, as required.
The Contractor will coordinate with Project Coordinators, e.g., FMD, and OSPR/OPS the 
conduct of OPSEC reviews, assessments, and evaluations of FLETC contractor products 
designated for external distribution or publication to include television, radio, film, video, 
print, photography, and electronic products, for those ...</w:t>
            </w:r>
          </w:p>
          <w:p>
            <w:pPr>
              <w:pStyle w:val="ListParagraph"/>
              <w:numPr>
                <w:ilvl w:val="0"/>
                <w:numId w:val="2"/>
              </w:numPr>
            </w:pPr>
            <w:r>
              <w:rPr>
                <w:i w:val="false"/>
                <w:iCs w:val="false"/>
                <w:color w:val="000000"/>
                <w:sz w:val="20"/>
                <w:szCs w:val="20"/>
              </w:rPr>
              <w:t xml:space="preserve">[REQ] 106
In addition to IT Security Awareness training, the Contractor shall provide Contractor 
and subcontractor personnel performing significant IT security responsibilities under this 
contract with specific role-based training prescribed in Appendix A of the FLETC IT 
Security Awareness, Training and Education Plan.
H.34.2   IT Access
The Contractor shall sign the prescribed Rules of Behavior befo...</w:t>
            </w:r>
          </w:p>
          <w:p>
            <w:pPr>
              <w:pStyle w:val="ListParagraph"/>
              <w:numPr>
                <w:ilvl w:val="0"/>
                <w:numId w:val="2"/>
              </w:numPr>
            </w:pPr>
            <w:r>
              <w:rPr>
                <w:i w:val="false"/>
                <w:iCs w:val="false"/>
                <w:color w:val="000000"/>
                <w:sz w:val="20"/>
                <w:szCs w:val="20"/>
              </w:rPr>
              <w:t xml:space="preserve">[REQ] interface, embeds custom user control(s), embeds video or multimedia, uses 
proprietary or technical approaches such as, but not limited to, Flash or Asynchronous 
JavaScript and XML (AJAX) then “1194.21 Software” standards also apply to fulfill 
functional performance criteria.
36 CFR 1194.24 Video and Multimedia Products, applies to all video and multimedia 
products that are procured or develop...</w:t>
            </w:r>
          </w:p>
          <w:p>
            <w:pPr>
              <w:pStyle w:val="ListParagraph"/>
              <w:numPr>
                <w:ilvl w:val="0"/>
                <w:numId w:val="2"/>
              </w:numPr>
            </w:pPr>
            <w:r>
              <w:rPr>
                <w:i w:val="false"/>
                <w:iCs w:val="false"/>
                <w:color w:val="000000"/>
                <w:sz w:val="20"/>
                <w:szCs w:val="20"/>
              </w:rPr>
              <w:t xml:space="preserve">[REQ] 36 CFR 1194.26 – Desktop and Portable Computers, applies to all desktop and portable 
computers, including but not limited to laptops and personal data assistants (PDA) that 
are procured or developed under this work statement.
36 CFR 1194.31 – Functional Performance Criteria applies to all EIT deliverables 
regardless of delivery method. All EIT deliverable shall use technical standards, 
regardl...</w:t>
            </w:r>
          </w:p>
          <w:p>
            <w:pPr>
              <w:pStyle w:val="ListParagraph"/>
              <w:numPr>
                <w:ilvl w:val="0"/>
                <w:numId w:val="2"/>
              </w:numPr>
            </w:pPr>
            <w:r>
              <w:rPr>
                <w:i w:val="false"/>
                <w:iCs w:val="false"/>
                <w:color w:val="000000"/>
                <w:sz w:val="20"/>
                <w:szCs w:val="20"/>
              </w:rPr>
              <w:t xml:space="preserve">[REQ] All forms must be completed in their entirety by all Contractor and subcontractor 
personnel subject to the requirement. If the background investigation results in an 
unfavorable adjudication, the individual will be denied access to FLETC IT systems and 
sensitive data. Examples of offenses which could prevent access to FLETC IT systems 
and sensitive data include but are not limited to any felon...</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0C0" w:sz="1"/>
              <w:left w:val="single" w:color="0070C0" w:sz="1"/>
              <w:bottom w:val="single" w:color="0070C0" w:sz="1"/>
              <w:right w:val="single" w:color="0070C0" w:sz="1"/>
            </w:tcBorders>
            <w:shd w:fill="D6E3F8" w:val="clear"/>
          </w:tcPr>
          <w:p>
            <w:pPr>
              <w:spacing w:after="80"/>
            </w:pPr>
            <w:r>
              <w:rPr>
                <w:b/>
                <w:bCs/>
                <w:color w:val="0070C0"/>
                <w:sz w:val="18"/>
                <w:szCs w:val="18"/>
                <w:smallCaps/>
              </w:rPr>
              <w:t xml:space="preserve">SECTION M - EVALUATION CRITERIA</w:t>
            </w:r>
          </w:p>
          <w:p>
            <w:pPr>
              <w:pStyle w:val="ListParagraph"/>
              <w:numPr>
                <w:ilvl w:val="0"/>
                <w:numId w:val="2"/>
              </w:numPr>
            </w:pPr>
            <w:r>
              <w:rPr>
                <w:i w:val="false"/>
                <w:iCs w:val="false"/>
                <w:color w:val="000000"/>
                <w:sz w:val="20"/>
                <w:szCs w:val="20"/>
              </w:rPr>
              <w:t xml:space="preserve">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w:t>
            </w:r>
          </w:p>
          <w:p>
            <w:pPr>
              <w:pStyle w:val="ListParagraph"/>
              <w:numPr>
                <w:ilvl w:val="0"/>
                <w:numId w:val="2"/>
              </w:numPr>
            </w:pPr>
            <w:r>
              <w:rPr>
                <w:i w:val="false"/>
                <w:iCs w:val="false"/>
                <w:color w:val="000000"/>
                <w:sz w:val="20"/>
                <w:szCs w:val="20"/>
              </w:rPr>
              <w:t xml:space="preserve">159
The Government will not conduct discussions as part of the Phase I Advisory Down-
Select. The Government does not intend to provide debriefings after the completion of the 
advisory notifications. Failure to participate in Phase I precludes further consideration of 
a Quoter.
Failure to comply with the solicitation requirements will result in the removal from the 
competition as FLETC reserves...</w:t>
            </w:r>
          </w:p>
          <w:p>
            <w:pPr>
              <w:pStyle w:val="ListParagraph"/>
              <w:numPr>
                <w:ilvl w:val="0"/>
                <w:numId w:val="2"/>
              </w:numPr>
            </w:pPr>
            <w:r>
              <w:rPr>
                <w:i w:val="false"/>
                <w:iCs w:val="false"/>
                <w:color w:val="000000"/>
                <w:sz w:val="20"/>
                <w:szCs w:val="20"/>
              </w:rPr>
              <w:t xml:space="preserve">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w:t>
            </w:r>
          </w:p>
          <w:p>
            <w:pPr>
              <w:pStyle w:val="ListParagraph"/>
              <w:numPr>
                <w:ilvl w:val="0"/>
                <w:numId w:val="2"/>
              </w:numPr>
            </w:pPr>
            <w:r>
              <w:rPr>
                <w:i w:val="false"/>
                <w:iCs w:val="false"/>
                <w:color w:val="000000"/>
                <w:sz w:val="20"/>
                <w:szCs w:val="20"/>
              </w:rPr>
              <w:t xml:space="preserve">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interface, embeds custom user control(s), embeds video or multimedia, uses 
proprietary or technical approaches such as, but not limited to, Flash or Asynchronous 
JavaScript and XML (AJAX) then “1194.21 Software” standards also apply to fulfill 
functional performance criteria.
36 CFR 1194.24 Video and Multimedia Products, applies to all video and multimedia 
products that are procured or developed under this work statement. Any video or 
multimedia presentation shall also comply with the software standards (1194.21) when 
the presentation is using a Web or Software application interface having user controls</w:t>
            </w:r>
          </w:p>
          <w:p>
            <w:pPr>
              <w:pStyle w:val="ListParagraph"/>
              <w:numPr>
                <w:ilvl w:val="0"/>
                <w:numId w:val="2"/>
              </w:numPr>
            </w:pPr>
            <w:r>
              <w:rPr>
                <w:i w:val="false"/>
                <w:iCs w:val="false"/>
                <w:color w:val="000000"/>
                <w:sz w:val="20"/>
                <w:szCs w:val="20"/>
              </w:rPr>
              <w:t xml:space="preserve">[REQ] 161
provide proof of certification will result in immediate 
disqualification from the solicitation process.
2.Technical Approach:
oOfferors shall provide a detailed description of their approach to meeting 
the requirements outlined in the Statement of Objectives (SOO). The 
technical approach should demonstrate:
▪A clear understanding of the requirements.
▪Feasibility of the proposed solution.
▪Innovation and efficiency in achieving objectives.
▪Examples of past success in similar technical endeavors, including 
metrics or case studies where applicable.
oEvaluation Criteria:
▪The Government will assess the Offeror’s ability to meet or exceed 
the SOO requirements.
▪Proposals that lack sufficient detail or fail to address key 
requirements will be deemed non-compliant and disqualified.
3.Staffing Plan:
oOfferors shall provide a comprehensive staffing plan that includes:
▪Recruitment and retention strategies, particularly for rural or hard-
to-fill locations.
▪Succession planning for key roles to ensure continuity of</w:t>
            </w:r>
          </w:p>
          <w:p>
            <w:pPr>
              <w:pStyle w:val="ListParagraph"/>
              <w:numPr>
                <w:ilvl w:val="0"/>
                <w:numId w:val="2"/>
              </w:numPr>
            </w:pPr>
            <w:r>
              <w:rPr>
                <w:i w:val="false"/>
                <w:iCs w:val="false"/>
                <w:color w:val="000000"/>
                <w:sz w:val="20"/>
                <w:szCs w:val="20"/>
              </w:rPr>
              <w:t xml:space="preserve">[REQ] 158
Section 6 – Evaluation Factors For Award
Evaluation Process
Quotes shall be submitted in accordance with the instructions outlined. A quote will be 
rejected if the Contracting Officer determines that the quote does not materially comply 
with the instructions provided.
The Government is conducting a two-phased evaluation in accordance with FAR Part 8 
utilizing streamlined acquisition procedures. The Government intends to make a single 
award in support of this requirement to the responsible Quoter whose quote is the most 
advantageous and represents the best value to the Government, based on the Evaluation 
Factors defined. 
The Government will evaluate Phase I and Phase II as listed in the table below.  After the 
Government completes the evaluation of Phase I, an advisory notification letter via e-mail 
with the advisory recommendation to proceed or not to proceed to Phase II will be sent.  
Quoters that are the most highly rated for Phase 1 will be advised to proceed to Phase II. 
Quoters not among the most highly rated, will be advised that they are unlikely to be 
viable competitors. The intent of this advice is to minimize development costs for those 
with little to no chance of receiving an award. The Government’s advice will be a 
recommendation only, and those who are advised not to proceed may elect to continue.
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this solicitation. Additionally, a Quoter’s 
decision not to participate in Phase II of the procurement precludes further consideration 
of a Quoter and renders them ineligible for award.</w:t>
            </w:r>
          </w:p>
          <w:p>
            <w:pPr>
              <w:pStyle w:val="ListParagraph"/>
              <w:numPr>
                <w:ilvl w:val="0"/>
                <w:numId w:val="2"/>
              </w:numPr>
            </w:pPr>
            <w:r>
              <w:rPr>
                <w:i w:val="false"/>
                <w:iCs w:val="false"/>
                <w:color w:val="000000"/>
                <w:sz w:val="20"/>
                <w:szCs w:val="20"/>
              </w:rPr>
              <w:t xml:space="preserve">[REQ] 163
Phase II Evaluation
Phase II Evaluation Factors
Phase II focuses on evaluating the Offeror’s ability to meet the specific objectives of the 
contract and the reasonableness of their pricing.
6.Performance Work Statement (PWS):
oOfferors shall submit a draft PWS that outlines their approach to achieving 
the objectives outlined in the SOO and the Service Catalog. The draft 
PWS should include:
▪Objective Summary: A clear statement of the goals and 
objectives of the contract.
▪Technical Approach: Detailed methodologies and strategies for 
meeting requirements.
▪Performance Metrics and Standards: Proposed metrics to 
measure success and ensure quality.
▪Roles and Responsibilities: Identification of key personnel and 
their roles.
▪Risk Mitigation Strategies: Identification of potential risks and 
proposed mitigation plans.
oEvaluation Criteria:
▪The Government will evaluate the Offeror’s understanding of the 
SOO objectives, the feasibility of their approach, and the clarity of 
their performance metrics.
7.Price Proposal 
oOfferors shall submit pricing information as a separate Excel document. 
The price proposal will be evaluated for:
▪Reasonableness: Alignment with market rates and the scope of</w:t>
            </w:r>
          </w:p>
          <w:p>
            <w:pPr>
              <w:pStyle w:val="ListParagraph"/>
              <w:numPr>
                <w:ilvl w:val="0"/>
                <w:numId w:val="2"/>
              </w:numPr>
            </w:pPr>
            <w:r>
              <w:rPr>
                <w:i w:val="false"/>
                <w:iCs w:val="false"/>
                <w:color w:val="000000"/>
                <w:sz w:val="20"/>
                <w:szCs w:val="20"/>
              </w:rPr>
              <w:t xml:space="preserve">[REQ] Participate in formal OPSEC classroom and/or CBT and briefings, as required.
The Contractor will coordinate with Project Coordinators, e.g., FMD, and OSPR/OPS the 
conduct of OPSEC reviews, assessments, and evaluations of FLETC contractor products 
designated for external distribution or publication to include television, radio, film, video, 
print, photography, and electronic products, for those assigned contracts.
As applicable, the Contractor will ensure that all subordinate Contractor and 
subcontractor personnel will participate with these reviews, surveys, assessments, 
development of countermeasures, etc., for their respective organization.
The Contractor will ensure documentation of individual Contractor and subcontractor 
personnel attendance at OPSEC briefings and training occurs by following established 
training documentation procedures, as applicable. Submit all applicable Contractor 
OPSEC training documentation to the respective COR.
H.34 Information Technology And Data Security Requirements (Updated July 2013 
OSPR)
General Requirements: All Contractor and subcontractor personnel in the performance of 
this contract requiring access to FLETC information technology (IT) systems or sensitive 
data shall abide by all FLETC IT security regulations which may be in effect during the 
contract period. Any such individual(s) shall be subject to those checks which may be 
deemed necessary by FLETC to ensure that no violations occur. It shall be the 
Contractor's responsibility to ensure that all Contractor and subcontractor personnel who 
are expected to have access to FLETC-owned or -operated IT systems or IT systems 
contracted on behalf of FLETC that contain. 
FLETC sensitive data or information, undergo or have undergone an appropriate 
suitability background investigation. The type of background investigation that is 
conducted is based on FLETC's assessment of risk of the contractor's position. Positions 
may be categorized as either IT or non-IT and based on the risk (i.e., low, moderate) to 
public trust. 
Determination of Contractor and subcontractor personnel IT access needs must be 
coordinated with the COR. IT system and data suitability background investigation 
requirements may be greater than those requirements for physical security access to 
FLETC facilities. Suitability background investigation processes for physical security 
access will be followed as contained in this Section H. Temporary IT system and data 
access will only be permitted for non-sensitive IT systems and data. For Contractor and 
subcontractor personnel who will require admittance to FLETC facilities and/or are being 
given access to FLETC SBU information that includes, Personnel Identity Information 
(PII), Protected critical Infrastructure Information (PCII), Sensitive Security Information 
(SSI), FOUO, or IT resources, will be required to undergo a background investigation 
even if they work for less than six months. Depending on the risk level, the background</w:t>
            </w:r>
          </w:p>
          <w:p>
            <w:pPr>
              <w:pStyle w:val="ListParagraph"/>
              <w:numPr>
                <w:ilvl w:val="0"/>
                <w:numId w:val="2"/>
              </w:numPr>
            </w:pPr>
            <w:r>
              <w:rPr>
                <w:i w:val="false"/>
                <w:iCs w:val="false"/>
                <w:color w:val="000000"/>
                <w:sz w:val="20"/>
                <w:szCs w:val="20"/>
              </w:rPr>
              <w:t xml:space="preserve">[REQ] 106
In addition to IT Security Awareness training, the Contractor shall provide Contractor 
and subcontractor personnel performing significant IT security responsibilities under this 
contract with specific role-based training prescribed in Appendix A of the FLETC IT 
Security Awareness, Training and Education Plan.
H.34.2   IT Access
The Contractor shall sign the prescribed Rules of Behavior before access to FLETC IT 
systems will be granted. The Contractor consents to monitoring for compliance and other 
lawful purposes while using a FLETC-issued account.
H.34.3    Contractor IT Security Plan
The Contractor shall provide, implement and maintain an IT Security Plan. The plan shall 
be delivered to the CO in accordance with HSAR 3052.204-70, Security Requirements 
for Unclassified Information Technology Resources for Government approval within 5 
days upon contract award. Upon Government approval the plan will be incorporated into 
the contract as a compliance document.
H.34.4   Interconnection Security Agreements 
Interconnections between FLETC and non-FLETC IT systems shall be established only 
through controlled interfaces and via approved service providers. The controlled 
interfaces shall be accredited at the highest security level of information on the network. 
Connections with other Federal agencies shall be documented based on interagency 
agreements, memoranda of understanding, service level agreements or interconnection 
security agreements.
H.34.5   Information Security Standards Applicable to this Contract
DHS Sensitive Systems Policy Directive 4300A, version 13.02, September 2022, or 
subsequent publication.
H.34.6   Section 508 Compliance
Section 508 of the Rehabilitation Act, as amended by the Workforce Investment Act of 
1998 (P.L. 105-220) requires that when Federal agencies develop, procure, maintain, or 
use electronic and information technology, they must ensure that it is accessible to people 
with disabilities. Federal employees and members of the public who have disabilities 
must have equal access to and use of information and data that is comparable to that 
enjoyed by non-disabled Federal employees and members of the public.
All EIT deliverables within this work statement shall comply with the applicable 
technical and functional performance criteria of Section 508 unless exempt.
Specifically, the following applicable standards have been identified:</w:t>
            </w:r>
          </w:p>
          <w:p>
            <w:pPr>
              <w:pStyle w:val="ListParagraph"/>
              <w:numPr>
                <w:ilvl w:val="0"/>
                <w:numId w:val="2"/>
              </w:numPr>
            </w:pPr>
            <w:r>
              <w:rPr>
                <w:i w:val="false"/>
                <w:iCs w:val="false"/>
                <w:color w:val="000000"/>
                <w:sz w:val="20"/>
                <w:szCs w:val="20"/>
              </w:rPr>
              <w:t xml:space="preserve">[REQ] 36 CFR 1194.26 – Desktop and Portable Computers, applies to all desktop and portable 
computers, including but not limited to laptops and personal data assistants (PDA) that 
are procured or developed under this work statement.
36 CFR 1194.31 – Functional Performance Criteria applies to all EIT deliverables 
regardless of delivery method. All EIT deliverable shall use technical standards, 
regardless of technology, to fulfill the functional performance criteria.
36 CFR 1194.41 – Information Documentation and Support, applies to all documents, 
reports, as well as help and support services. To ensure that documents and reports fulfill 
the required “1194.31 Functional Performance Criteria”, they shall comply with the 
technical standard associated with Web- based Intranet and Internet Information and 
Applications at a minimum. In addition, any help or support provided in this work 
statement that offer telephone support, such as, but not limited to, a help desk shall have 
the ability to transmit and receive messages using TTY.
Exceptions for this work statement have been determined by DHS and only the 
exceptions described herein may be applied. Any request for additional exceptions shall 
be sent to the COR and determination will be made in accordance with DHS MD 4010.2. 
DHS has identified the following exceptions that may apply:
36 CFR 1194.2(b) – (COTS/GOTS products), When procuring a product, each agency 
shall procure products that comply with the provisions in this part when such products are 
available in the commercial marketplace or when such products are developed in 
response to a Government solicitation. Agencies cannot claim a product as a whole is not</w:t>
            </w:r>
          </w:p>
          <w:p>
            <w:pPr>
              <w:pStyle w:val="ListParagraph"/>
              <w:numPr>
                <w:ilvl w:val="0"/>
                <w:numId w:val="2"/>
              </w:numPr>
            </w:pPr>
            <w:r>
              <w:rPr>
                <w:i w:val="false"/>
                <w:iCs w:val="false"/>
                <w:color w:val="000000"/>
                <w:sz w:val="20"/>
                <w:szCs w:val="20"/>
              </w:rPr>
              <w:t xml:space="preserve">[REQ] Is protected at all times by procedures established for information that have been 
specifically authorized under criteria established by an Executive order or an Act of 
Congress to be kept classified in the interest of national defense or foreign policy.
Roaming means cellular communications services (e.g., voice, video, data) received from 
a visited network when unable to connect to the facilities of the home network either 
because signal coverage is too weak or because traffic is too high.
Sensitive compartmented information means classified information concerning or derived 
from intelligence sources, methods, or analytical processes, which is required to be 
handled within formal access control systems established by the Director of National 
Intelligence.
Sensitive compartmented information system means a national security system 
authorized to process or store sensitive compartmented information.
Source means a non-Federal supplier, or potential supplier, of products or services, at any</w:t>
            </w:r>
          </w:p>
          <w:p>
            <w:pPr>
              <w:pStyle w:val="ListParagraph"/>
              <w:numPr>
                <w:ilvl w:val="0"/>
                <w:numId w:val="2"/>
              </w:numPr>
            </w:pPr>
            <w:r>
              <w:rPr>
                <w:i w:val="false"/>
                <w:iCs w:val="false"/>
                <w:color w:val="000000"/>
                <w:sz w:val="20"/>
                <w:szCs w:val="20"/>
              </w:rPr>
              <w:t xml:space="preserve">[REQ] 100
Reporting. The Contractor shall deliver to the CO a Security Training List within the first 
30 days of performance, and semi-annually on the first day of October and April. The 
Security Training List shall be provided in Microsoft Excel format, and include - 
Company Name, Contract Number, Employee Name, Date Employee Reports on Center, 
and Date of Training. The standardized format is attached.
Certification. The Contractor shall certify information submitted on the Security Training 
List is accurate. The Contractor shall designate an authorized representative for 
certification purposes.
H.32  Access To Unclassified Facilities, Information Technology Resources, And 
Sensitive Information Requirement (Updated July 2013 OSPR)
The assurance of the security of unclassified facilities, IT resources, and sensitive 
information during the acquisition process and contract performance are essential to the 
DHS mission. DHS Directive 11042.1, Safeguarding Sensitive But Unclassified (For 
Official Use Only) Information, describes how Contractors must handle sensitive but 
unclassified information. The DHS Sensitive Systems Handbook prescribes policies and 
procedures on security for IT resources. The Contractor shall comply with these policies 
and procedures, any replacement publications, or any other current or future DHS 
policies and procedures covering Contractors specifically for all Delivery Orders that 
require access to DHS facilities, IT resources or sensitive information. The Contractor 
shall not use or redistribute any DHS information processed, stored, or transmitted by the 
Contractor except as specified in the Delivery Order.
The Government will provide the Contractor with access to existing system.
Sensitive Information, means any information, the loss, misuse, disclosure, or 
unauthorized access to or modification of which could adversely affect the national or 
homeland security interest, or the conduct of Federal programs, or the privacy to which 
individuals are entitled under Section 552a of Title 5, United States Code (the Privacy 
Act), but which has not been specifically authorized under criteria established by an EO 
or an Act of Congress to be kept secret in the interest of national defense, homeland 
security or foreign policy. This definition includes but is not limited to the following 
categories of information:</w:t>
            </w:r>
          </w:p>
          <w:p>
            <w:pPr>
              <w:pStyle w:val="ListParagraph"/>
              <w:numPr>
                <w:ilvl w:val="0"/>
                <w:numId w:val="2"/>
              </w:numPr>
            </w:pPr>
            <w:r>
              <w:rPr>
                <w:i w:val="false"/>
                <w:iCs w:val="false"/>
                <w:color w:val="000000"/>
                <w:sz w:val="20"/>
                <w:szCs w:val="20"/>
              </w:rPr>
              <w:t xml:space="preserve">[REQ] 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this solicitation. Additionally, a Quoter’s 
decision not to participate in Phase II of the procurement precludes further consideration 
of a Quoter and renders them ineligible for award.</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1"/>
        <w:pageBreakBefore/>
      </w:pPr>
      <w:r>
        <w:t xml:space="preserve">VOLUME 2: PAST PERFORMANCE</w:t>
      </w:r>
    </w:p>
    <w:p>
      <w:pPr>
        <w:spacing w:after="120"/>
      </w:pPr>
      <w:r>
        <w:rPr>
          <w:b/>
          <w:bCs/>
          <w:sz w:val="22"/>
          <w:szCs w:val="22"/>
        </w:rPr>
        <w:t xml:space="preserve">Page Limit: </w:t>
      </w:r>
      <w:r>
        <w:rPr>
          <w:color w:val="C00000"/>
          <w:sz w:val="22"/>
          <w:szCs w:val="22"/>
        </w:rPr>
        <w:t xml:space="preserve">No limit specified</w:t>
      </w:r>
    </w:p>
    <w:p>
      <w:pPr>
        <w:pStyle w:val="Heading2"/>
      </w:pPr>
      <w:r>
        <w:t xml:space="preserve">SEC-PP-1. Past Performance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0C0" w:sz="1"/>
              <w:left w:val="single" w:color="0070C0" w:sz="1"/>
              <w:bottom w:val="single" w:color="0070C0" w:sz="1"/>
              <w:right w:val="single" w:color="0070C0" w:sz="1"/>
            </w:tcBorders>
            <w:shd w:fill="D6E3F8" w:val="clear"/>
          </w:tcPr>
          <w:p>
            <w:pPr>
              <w:spacing w:after="80"/>
            </w:pPr>
            <w:r>
              <w:rPr>
                <w:b/>
                <w:bCs/>
                <w:color w:val="0070C0"/>
                <w:sz w:val="18"/>
                <w:szCs w:val="18"/>
                <w:smallCaps/>
              </w:rPr>
              <w:t xml:space="preserve">SECTION M - EVALUATION CRITERIA</w:t>
            </w:r>
          </w:p>
          <w:p>
            <w:pPr>
              <w:pStyle w:val="ListParagraph"/>
              <w:numPr>
                <w:ilvl w:val="0"/>
                <w:numId w:val="2"/>
              </w:numPr>
            </w:pPr>
            <w:r>
              <w:rPr>
                <w:i w:val="false"/>
                <w:iCs w:val="false"/>
                <w:color w:val="000000"/>
                <w:sz w:val="20"/>
                <w:szCs w:val="20"/>
              </w:rPr>
              <w:t xml:space="preserve">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w:t>
            </w:r>
          </w:p>
          <w:p>
            <w:pPr>
              <w:pStyle w:val="ListParagraph"/>
              <w:numPr>
                <w:ilvl w:val="0"/>
                <w:numId w:val="2"/>
              </w:numPr>
            </w:pPr>
            <w:r>
              <w:rPr>
                <w:i w:val="false"/>
                <w:iCs w:val="false"/>
                <w:color w:val="000000"/>
                <w:sz w:val="20"/>
                <w:szCs w:val="20"/>
              </w:rPr>
              <w:t xml:space="preserve">162
4.Corporate Experience:
oOfferors shall provide examples of relevant past projects or contracts that 
demonstrate their ability to perform similar work. The submission should 
include:
▪Scope and scale of previous projects.
▪Specific challenges encountered and how they were overcome.
▪Relevance to the requirements of this solicitation.
▪Experience managing IT assets, supporting large organizat...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162
4.Corporate Experience:
oOfferors shall provide examples of relevant past projects or contracts that 
demonstrate their ability to perform similar work. The submission should 
include:
▪Scope and scale of previous projects.
▪Specific challenges encountered and how they were overcome.
▪Relevance to the requirements of this solicitation.
▪Experience managing IT assets, supporting large organizations, 
and delivering high levels of user satisfaction.
oEvaluation Criteria:
▪The Government will assess the relevance, scope, and complexity 
of the Offeror’s prior experience.
5.Past Performance:
oThe Government will evaluate past performance using the Contractor 
Performance Assessment Reporting System (CPARS). Offerors are not 
required to submit past performance information as part of their proposal.
oIf an offeror has no CPARS records, the Government will assign a neutral 
rating for past performance. 
oEvaluation Criteria:
▪The Government will evaluate the Offeror’s track record of 
successfully delivering similar services.</w:t>
            </w:r>
          </w:p>
          <w:p>
            <w:pPr>
              <w:pStyle w:val="ListParagraph"/>
              <w:numPr>
                <w:ilvl w:val="0"/>
                <w:numId w:val="2"/>
              </w:numPr>
            </w:pPr>
            <w:r>
              <w:rPr>
                <w:i w:val="false"/>
                <w:iCs w:val="false"/>
                <w:color w:val="000000"/>
                <w:sz w:val="20"/>
                <w:szCs w:val="20"/>
              </w:rPr>
              <w:t xml:space="preserve">[REQ] 158
Section 6 – Evaluation Factors For Award
Evaluation Process
Quotes shall be submitted in accordance with the instructions outlined. A quote will be 
rejected if the Contracting Officer determines that the quote does not materially comply 
with the instructions provided.
The Government is conducting a two-phased evaluation in accordance with FAR Part 8 
utilizing streamlined acquisition procedures. The Government intends to make a single 
award in support of this requirement to the responsible Quoter whose quote is the most 
advantageous and represents the best value to the Government, based on the Evaluation 
Factors defined. 
The Government will evaluate Phase I and Phase II as listed in the table below.  After the 
Government completes the evaluation of Phase I, an advisory notification letter via e-mail 
with the advisory recommendation to proceed or not to proceed to Phase II will be sent.  
Quoters that are the most highly rated for Phase 1 will be advised to proceed to Phase II. 
Quoters not among the most highly rated, will be advised that they are unlikely to be 
viable competitors. The intent of this advice is to minimize development costs for those 
with little to no chance of receiving an award. The Government’s advice will be a 
recommendation only, and those who are advised not to proceed may elect to continue.
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this solicitation. Additionally, a Quoter’s 
decision not to participate in Phase II of the procurement precludes further consideration 
of a Quoter and renders them ineligible for award.</w:t>
            </w:r>
          </w:p>
          <w:p>
            <w:pPr>
              <w:pStyle w:val="ListParagraph"/>
              <w:numPr>
                <w:ilvl w:val="0"/>
                <w:numId w:val="2"/>
              </w:numPr>
            </w:pPr>
            <w:r>
              <w:rPr>
                <w:i w:val="false"/>
                <w:iCs w:val="false"/>
                <w:color w:val="000000"/>
                <w:sz w:val="20"/>
                <w:szCs w:val="20"/>
              </w:rPr>
              <w:t xml:space="preserve">[REQ] Evaluation Factors
Factor 1, Certification Requirements
Factor 2, Technical Approach
Factor 3, Staffing Plan
Factor 4, Corporate Experience
Phase I
Factor 5, Past Performance
Advisory Notification Letters
Factor 6, Performance Work Statement (PWS)
Factor 7, Price
Phase II
Failure to participate in Phase I of the solicitation precludes further consideration of a 
Quoter. Phase II quotes will not be accepted from quoters who have not submitted the 
Phase I proposal by the date and time stated in this solicitation. Additionally, a Quoter’s 
decision not to participate in Phase II of the procurement precludes further consideration 
of a Quoter and renders them ineligible for award.</w:t>
            </w:r>
          </w:p>
          <w:p>
            <w:pPr>
              <w:pStyle w:val="ListParagraph"/>
              <w:numPr>
                <w:ilvl w:val="0"/>
                <w:numId w:val="2"/>
              </w:numPr>
            </w:pPr>
            <w:r>
              <w:rPr>
                <w:i w:val="false"/>
                <w:iCs w:val="false"/>
                <w:color w:val="000000"/>
                <w:sz w:val="20"/>
                <w:szCs w:val="20"/>
              </w:rPr>
              <w:t xml:space="preserve">[REQ] 86
The Contractor shall ensure that all Contractor personnel who will be driving a vehicle in 
support of this contract possess required license, prior to driving that vehicle. This 
specifically includes personnel operating FLETC Government owned vehicles in the 
performance of roles.
H.17 Environmental Protection
The Contractor shall comply with all applicable environmental protection requirements 
including all Federal, State and local laws and regulations. All environmental protection 
matters shall be coordinated with the CO or designated representative. In the event that a 
regulatory agency assesses a monetary fine against the Government for violations caused 
by the Contractor, or contractor equipment, personnel, etc., the Contractor shall 
reimburse the Government for that portion of the fine and associated costs for which the 
Contractor is responsible.
H.18  Access To Buildings
It shall be the Contractor's responsibility, through the COR, to obtain access to buildings 
and to arrange for each room/area to be opened and closed as necessary in performance 
of contract requirements. The Contractor shall be responsible for safeguarding all 
Government property and securing facilities, equipment, and materials at the end of each 
work period.
H.19  Key Control
Keys to include keyless entry cards or other similar control devices will be issued to the 
Contractor as appropriate. The Contractor shall receive, service, and account for all keys 
issued for use in the performance of this contract. The Contractor shall develop a system 
of key control and submit the written plan for the CO's approval five (5) days prior to 
contract start. This plan shall become a part of the quality control plan. The Contractor's 
plan shall ensure that all keys and lock combinations issued to the Contractor by the 
Government are not lost, misplaced, or used by unauthorized persons.
Neither the Contractor, nor any Contractor personnel, shall duplicate or fabricate any 
Government key in its custody. Should replacement keys be required, the Contractor shall 
submit a WRITTEN REQUEST to the COR. The Contractor shall report loss or 
unauthorized duplication of Government issued keys to the CO or his/her designated 
representative within 48 hours of learning of the loss or duplication by Contractor and 
subcontractor personnel.
The Contractor shall control access to all Government provided lock combinations to 
preclude unauthorized entry. The Contractor shall immediately notify the COR when lock 
combinations have been compromised.
Should the security of a facility become compromised by the loss of a key by Contractor 
personnel, the Contractor shall be responsible for replacement cost for rekeying of locks 
or lock replacements as determined appropriate by the CO. In the event a master key is</w:t>
            </w:r>
          </w:p>
          <w:p>
            <w:pPr>
              <w:pStyle w:val="ListParagraph"/>
              <w:numPr>
                <w:ilvl w:val="0"/>
                <w:numId w:val="2"/>
              </w:numPr>
            </w:pPr>
            <w:r>
              <w:rPr>
                <w:i w:val="false"/>
                <w:iCs w:val="false"/>
                <w:color w:val="000000"/>
                <w:sz w:val="20"/>
                <w:szCs w:val="20"/>
              </w:rPr>
              <w:t xml:space="preserve">[REQ] H.19  Key Control
Keys to include keyless entry cards or other similar control devices will be issued to the 
Contractor as appropriate. The Contractor shall receive, service, and account for all keys 
issued for use in the performance of this contract. The Contractor shall develop a system 
of key control and submit the written plan for the CO's approval five (5) days prior to 
contract start. This plan shall become a part of the quality control plan. The Contractor's 
plan shall ensure that all keys and lock combinations issued to the Contractor by the 
Government are not lost, misplaced, or used by unauthorized persons.
Neither the Contractor, nor any Contractor personnel, shall duplicate or fabricate any 
Government key in its custody. Should replacement keys be required, the Contractor shall 
submit a WRITTEN REQUEST to the COR. The Contractor shall report loss or 
unauthorized duplication of Government issued keys to the CO or his/her designated 
representative within 48 hours of learning of the loss or duplication by Contractor and 
subcontractor personnel.
The Contractor shall control access to all Government provided lock combinations to 
preclude unauthorized entry. The Contractor shall immediately notify the COR when lock 
combinations have been compromised.
Should the security of a facility become compromised by the loss of a key by Contractor 
personnel, the Contractor shall be responsible for replacement cost for rekeying of locks 
or lock replacements as determined appropriate by the CO. In the event a master key is</w:t>
            </w:r>
          </w:p>
          <w:p>
            <w:pPr>
              <w:pStyle w:val="ListParagraph"/>
              <w:numPr>
                <w:ilvl w:val="0"/>
                <w:numId w:val="2"/>
              </w:numPr>
            </w:pPr>
            <w:r>
              <w:rPr>
                <w:i w:val="false"/>
                <w:iCs w:val="false"/>
                <w:color w:val="000000"/>
                <w:sz w:val="20"/>
                <w:szCs w:val="20"/>
              </w:rPr>
              <w:t xml:space="preserve">[REQ] 85
The Contractor shall provide a complete list of biobased products purchased to carry out 
the contract requirements. The list shall be provided to the point of contact listed in FAR 
52.223-2, Affirmative Procurement of Biobased Products Under Service and 
Construction Contracts, on each anniversary date of award. The products list shall be 
organized into the following three categories: Biobased products, Green products and all 
other products. The Contractor shall list volume to be used and total cost for each
individual product in each category.
H.13 Photography
No photography, of any nature, is allowed while on FLETC without the written 
authorization of the CO. Submit photography requests to the CO at least two (2) business 
days prior to anticipated photo session.
H.14 Conduct Of Personnel
The CO may require the Contractor to remove from the job site any individual under this 
contract for reasons of misconduct, security, suspected or found to be under the influence 
of alcohol, drugs, or other incapacitating agent. Contractor and subcontractor personnel 
shall be subject to dismissal from the premises upon determination by the CO that such 
action is in the best interests of the Government. The CO has the authority to bar 
individuals from the installation. Such removal from the job site or dismissal from the 
premises shall not relieve the Contractor of the requirement to provide sufficient 
personnel to perform the services as required by this performance work statement.
H.15 Contractor Vehicles
All Contractor vehicles operated on Government property shall be in operable condition, 
maintained in good repair, and meet all local, State and Federal safety requirements. 
Vehicles found to be unsafe or unable to function as designed shall be removed from the 
job site immediately. Each vehicle operated by the Contractor under this contract shall, at 
all times, display a valid state license plate and safety inspection sticker, if applicable.
All Contractor vehicles shall be operated in accordance with FLETC traffic regulations.
Should a vehicle fail to meet the standards, the Contractor shall be liable of any resultant 
delays (including jeopardizing their performance report rating on contract schedules).
The Contractor's name and telephone number shall be conspicuously legible on both 
sides of all Contractor vehicles and over-the-road equipment.
H.16 Permits
The Contractor shall without additional expense to the Government obtain all 
appointments, licenses, and permits required for the prosecution of the work and for 
compliance with all applicable Federal, State and local laws, regulations, and codes. 
Evidence of such shall be provided to the CO upon request.</w:t>
            </w:r>
          </w:p>
          <w:p>
            <w:pPr>
              <w:pStyle w:val="ListParagraph"/>
              <w:numPr>
                <w:ilvl w:val="0"/>
                <w:numId w:val="2"/>
              </w:numPr>
            </w:pPr>
            <w:r>
              <w:rPr>
                <w:i w:val="false"/>
                <w:iCs w:val="false"/>
                <w:color w:val="000000"/>
                <w:sz w:val="20"/>
                <w:szCs w:val="20"/>
              </w:rPr>
              <w:t xml:space="preserve">[REQ] H.15 Contractor Vehicles
All Contractor vehicles operated on Government property shall be in operable condition, 
maintained in good repair, and meet all local, State and Federal safety requirements. 
Vehicles found to be unsafe or unable to function as designed shall be removed from the 
job site immediately. Each vehicle operated by the Contractor under this contract shall, at 
all times, display a valid state license plate and safety inspection sticker, if applicable.
All Contractor vehicles shall be operated in accordance with FLETC traffic regulations.
Should a vehicle fail to meet the standards, the Contractor shall be liable of any resultant 
delays (including jeopardizing their performance report rating on contract schedules).
The Contractor's name and telephone number shall be conspicuously legible on both 
sides of all Contractor vehicles and over-the-road equipment.</w:t>
            </w:r>
          </w:p>
          <w:p>
            <w:pPr>
              <w:pStyle w:val="ListParagraph"/>
              <w:numPr>
                <w:ilvl w:val="0"/>
                <w:numId w:val="2"/>
              </w:numPr>
            </w:pPr>
            <w:r>
              <w:rPr>
                <w:i w:val="false"/>
                <w:iCs w:val="false"/>
                <w:color w:val="000000"/>
                <w:sz w:val="20"/>
                <w:szCs w:val="20"/>
              </w:rPr>
              <w:t xml:space="preserve">[REQ] 86
The Contractor shall ensure that all Contractor personnel who will be driving a vehicle in 
support of this contract possess required license, prior to driving that vehicle. This 
specifically includes personnel operating FLETC Government owned vehicles in the 
performance of roles.</w:t>
            </w:r>
          </w:p>
          <w:p>
            <w:pPr>
              <w:pStyle w:val="ListParagraph"/>
              <w:numPr>
                <w:ilvl w:val="0"/>
                <w:numId w:val="2"/>
              </w:numPr>
            </w:pPr>
            <w:r>
              <w:rPr>
                <w:i w:val="false"/>
                <w:iCs w:val="false"/>
                <w:color w:val="000000"/>
                <w:sz w:val="20"/>
                <w:szCs w:val="20"/>
              </w:rPr>
              <w:t xml:space="preserve">[REQ] All forms must be completed in their entirety by all Contractor and subcontractor 
personnel subject to the requirement. If the background investigation results in an 
unfavorable adjudication, the individual will be denied access to FLETC IT systems and 
sensitive data. Examples of offenses which could prevent access to FLETC IT systems 
and sensitive data include but are not limited to any felony convictions or habitual 
violations, any crimes against a police officer, any conviction for distribution of illegal 
drugs, or any crimes of moral turpitude. Any cost or time delay which the Contractor 
experiences in the contract due to Contractor and subcontractor personnel being denied 
access to FLETC IT systems and sensitive data shall be the sole responsibility of the 
Contractor. Denial of IT system access for any individual because of failure to meet 
FLETC IT security standards shall not be subject to the Contract Disputes clause and 
cannot be the basis for any claim under the contract. The DHS IT security requirements 
are outlined in DHS Sensitive Systems Policy Directive 4300A. 
Contract Completion: The Contractor shall be responsible for ensuring FLETC Chief 
Information Officer (CIO) Directorate is notified of all Contractor and subcontractor 
personnel released from this contract support at the time of release, voluntarily or 
otherwise and at the end of the contract, who were issued access accounts to any FLETC 
IT systems. Notification to the CIO Directorate shall be through the COR.
H.34.1  Information Technology Security Training
All Contractor and subcontractor personnel entering FLETC shall be provided IT 
Security training prior to accessing an information system, its information, and resources. 
Training material will be provided by the Government. 5 CFR Part 930, subpart C, as 
revised, requires that all users of Federal information systems be exposed to security 
awareness materials annually or whenever system security changes occur, or when the 
user's responsibilities change. Training for new system users must occur before they are 
allowed access to systems. OMB Circular A-130, Appendix III, Security of Federal 
Automated Information Resources, requires that persons be trained in their 
responsibilities and in the Rules of Behavior for system. In accordance with FLETC 
policy, all IT system users must complete initial IT security training and must 
acknowledge the FLETC IT system rules of behavior, prior to gaining system access.
IT Security Awareness training shall be provided by the Contractor for Contractor and 
subcontractor personnel requiring access to FLETC IT systems and resources. The 
Contractor shall use training prescribed by the Chief Information Security Officer. 
Contractor and subcontractor personnel must receive the prescribed training before initial 
access will be granted, and annually thereafter until access is no longer required.
The Contractor shall deliver to the CO an IT Security training report within the first 30 
days of performance. The report shall be provided in Microsoft Excel format. The report 
shall contain the Company Name, Employee Name, Date, and Date of Training.
The Contractor shall verify information submitted on the report is accurate.</w:t>
            </w:r>
          </w:p>
          <w:p>
            <w:pPr>
              <w:pStyle w:val="ListParagraph"/>
              <w:numPr>
                <w:ilvl w:val="0"/>
                <w:numId w:val="2"/>
              </w:numPr>
            </w:pPr>
            <w:r>
              <w:rPr>
                <w:i w:val="false"/>
                <w:iCs w:val="false"/>
                <w:color w:val="000000"/>
                <w:sz w:val="20"/>
                <w:szCs w:val="20"/>
              </w:rPr>
              <w:t xml:space="preserve">[REQ] 109
The Contractor shall make provisions for all required building, material, and equipment 
inventories to be conducted during the last 10 business days of the phase-in period. The 
Contractor shall coordinate these inventories with the COR so those appropriate 
representatives may be present for all inventories. The Contractor shall sign receipt for 
the items upon completion of the inventory. Responsibility for performance of the 
services covered shall also pass to the Contractor at that time. A proposed schedule for 
the inventories shall be included in the phase-in plan.
H.36  Phase-Out/Contract Completion
The Contractor shall provide a phase-out plan to the Contracting Officer for approval 180 
days prior to contract completion. The plan shall describe how the contractor shall 
approach the following issues: orientation and training of follow-on contractor, and any 
other actions required to ensure continuity of services. The contractor shall provide a 
certified list of all service employees on the contractor's and/or subcontractor's payroll 
together with anniversary dates of employment to the COR and CO. During the phase-out 
period, the incumbent shall be fully responsible for contract performance. Government 
reserves the right to conduct site visits in all Contractor operated facilities in conjunction 
with the solicitation of offers for the follow-on contract. In the event the follow-on 
contract is awarded to other than the incumbent, the incumbent Contractor shall 
cooperate to the extent required to permit an orderly change over to the succeeding 
Contractor. This includes reasonable recruitment access to incumbent employees. A 
recruitment notice may be placed in each facility.
At a minimum the incumbent contractor Project Manager shall be available to attend the 
post-award conference to the follow-on contract as a means to aid in transition. Duration 
of engagement shall be limited to two (2) hours. Incumbent shall be notified no later than 
72 hours in advance of conduct of the conference of date and time for attendance. 
If there is a change in Contractor, the incumbent Contractor shall negotiate in good faith a 
plan with the follow-on contractor addressing the nature and extent of orientation and 
training to ensure nominal impact during transition and to comply with the clause above 
entitled 'PHASE-IN/ORIENTATION PERIOD.' The plan shall specify a training 
program and a date for transferring responsibility for each division of work described in 
the plan and shall be subject to the Contracting Officer’s approval.
The Contractor shall schedule all inventories to occur within 15 business days prior to 
exercise of options or the termination of the contract. The Contractor shall coordinate 
these inventories with the COR so those appropriate representatives may be present. 
Within five (5) business days after completion of this contract (or as otherwise directed 
by the CO) the Contractor shall remove all Contractor owned vehicles, equipment, tools, 
supplies, materials, or other items from FLETC. The Government reserves the right to 
dispose of items remaining after the stated period in accordance with Federal property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2"/>
      </w:pPr>
      <w:r>
        <w:t xml:space="preserve">SEC-PP-2. Relevant Experience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70C0" w:sz="1"/>
              <w:left w:val="single" w:color="0070C0" w:sz="1"/>
              <w:bottom w:val="single" w:color="0070C0" w:sz="1"/>
              <w:right w:val="single" w:color="0070C0" w:sz="1"/>
            </w:tcBorders>
            <w:shd w:fill="D6E3F8" w:val="clear"/>
          </w:tcPr>
          <w:p>
            <w:pPr>
              <w:spacing w:after="80"/>
            </w:pPr>
            <w:r>
              <w:rPr>
                <w:b/>
                <w:bCs/>
                <w:color w:val="0070C0"/>
                <w:sz w:val="18"/>
                <w:szCs w:val="18"/>
                <w:smallCaps/>
              </w:rPr>
              <w:t xml:space="preserve">SECTION M - EVALUATION CRITERIA</w:t>
            </w:r>
          </w:p>
          <w:p>
            <w:pPr>
              <w:pStyle w:val="ListParagraph"/>
              <w:numPr>
                <w:ilvl w:val="0"/>
                <w:numId w:val="2"/>
              </w:numPr>
            </w:pPr>
            <w:r>
              <w:rPr>
                <w:i w:val="false"/>
                <w:iCs w:val="false"/>
                <w:color w:val="000000"/>
                <w:sz w:val="20"/>
                <w:szCs w:val="20"/>
              </w:rPr>
              <w:t xml:space="preserve">162
4.Corporate Experience:
oOfferors shall provide examples of relevant past projects or contracts that 
demonstrate their ability to perform similar work. The submission should 
include:
▪Scope and scale of previous projects.
▪Specific challenges encountered and how they were overcome.
▪Relevance to the requirements of this solicitation.
▪Experience managing IT assets, supporting large organizat...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030A0" w:sz="1"/>
              <w:left w:val="single" w:color="7030A0" w:sz="1"/>
              <w:bottom w:val="single" w:color="7030A0" w:sz="1"/>
              <w:right w:val="single" w:color="7030A0" w:sz="1"/>
            </w:tcBorders>
            <w:shd w:fill="E4D5F0" w:val="clear"/>
          </w:tcPr>
          <w:p>
            <w:pPr>
              <w:spacing w:after="80"/>
            </w:pPr>
            <w:r>
              <w:rPr>
                <w:b/>
                <w:bCs/>
                <w:color w:val="7030A0"/>
                <w:sz w:val="18"/>
                <w:szCs w:val="18"/>
                <w:smallCaps/>
              </w:rPr>
              <w:t xml:space="preserve">SECTION C/PWS - TECHNICAL REQUIREMENTS</w:t>
            </w:r>
          </w:p>
          <w:p>
            <w:pPr>
              <w:pStyle w:val="ListParagraph"/>
              <w:numPr>
                <w:ilvl w:val="0"/>
                <w:numId w:val="2"/>
              </w:numPr>
            </w:pPr>
            <w:r>
              <w:rPr>
                <w:i w:val="false"/>
                <w:iCs w:val="false"/>
                <w:color w:val="000000"/>
                <w:sz w:val="20"/>
                <w:szCs w:val="20"/>
              </w:rPr>
              <w:t xml:space="preserve">[REQ] 162
4.Corporate Experience:
oOfferors shall provide examples of relevant past projects or contracts that 
demonstrate their ability to perform similar work. The submission should 
include:
▪Scope and scale of previous projects.
▪Specific challenges encountered and how they were overcome.
▪Relevance to the requirements of this solicitation.
▪Experience managing IT assets, supporting large organizations, 
and delivering high levels of user satisfaction.
oEvaluation Criteria:
▪The Government will assess the relevance, scope, and complexity 
of the Offeror’s prior experience.
5.Past Performance:
oThe Government will evaluate past performance using the Contractor 
Performance Assessment Reporting System (CPARS). Offerors are not 
required to submit past performance information as part of their proposal.
oIf an offeror has no CPARS records, the Government will assign a neutral 
rating for past performance. 
oEvaluation Criteria:
▪The Government will evaluate the Offeror’s track record of 
successfully delivering similar services.</w:t>
            </w:r>
          </w:p>
          <w:p>
            <w:pPr>
              <w:pStyle w:val="ListParagraph"/>
              <w:numPr>
                <w:ilvl w:val="0"/>
                <w:numId w:val="2"/>
              </w:numPr>
            </w:pPr>
            <w:r>
              <w:rPr>
                <w:i w:val="false"/>
                <w:iCs w:val="false"/>
                <w:color w:val="000000"/>
                <w:sz w:val="20"/>
                <w:szCs w:val="20"/>
              </w:rPr>
              <w:t xml:space="preserve">[REQ] All forms must be completed in their entirety by all Contractor and subcontractor 
personnel subject to the requirement. If the background investigation results in an 
unfavorable adjudication, the individual will be denied access to FLETC IT systems and 
sensitive data. Examples of offenses which could prevent access to FLETC IT systems 
and sensitive data include but are not limited to any felony convictions or habitual 
violations, any crimes against a police officer, any conviction for distribution of illegal 
drugs, or any crimes of moral turpitude. Any cost or time delay which the Contractor 
experiences in the contract due to Contractor and subcontractor personnel being denied 
access to FLETC IT systems and sensitive data shall be the sole responsibility of the 
Contractor. Denial of IT system access for any individual because of failure to meet 
FLETC IT security standards shall not be subject to the Contract Disputes clause and 
cannot be the basis for any claim under the contract. The DHS IT security requirements 
are outlined in DHS Sensitive Systems Policy Directive 4300A. 
Contract Completion: The Contractor shall be responsible for ensuring FLETC Chief 
Information Officer (CIO) Directorate is notified of all Contractor and subcontractor 
personnel released from this contract support at the time of release, voluntarily or 
otherwise and at the end of the contract, who were issued access accounts to any FLETC 
IT systems. Notification to the CIO Directorate shall be through the COR.
H.34.1  Information Technology Security Training
All Contractor and subcontractor personnel entering FLETC shall be provided IT 
Security training prior to accessing an information system, its information, and resources. 
Training material will be provided by the Government. 5 CFR Part 930, subpart C, as 
revised, requires that all users of Federal information systems be exposed to security 
awareness materials annually or whenever system security changes occur, or when the 
user's responsibilities change. Training for new system users must occur before they are 
allowed access to systems. OMB Circular A-130, Appendix III, Security of Federal 
Automated Information Resources, requires that persons be trained in their 
responsibilities and in the Rules of Behavior for system. In accordance with FLETC 
policy, all IT system users must complete initial IT security training and must 
acknowledge the FLETC IT system rules of behavior, prior to gaining system access.
IT Security Awareness training shall be provided by the Contractor for Contractor and 
subcontractor personnel requiring access to FLETC IT systems and resources. The 
Contractor shall use training prescribed by the Chief Information Security Officer. 
Contractor and subcontractor personnel must receive the prescribed training before initial 
access will be granted, and annually thereafter until access is no longer required.
The Contractor shall deliver to the CO an IT Security training report within the first 30 
days of performance. The report shall be provided in Microsoft Excel format. The report 
shall contain the Company Name, Employee Name, Date, and Date of Training.
The Contractor shall verify information submitted on the report is accurate.</w:t>
            </w:r>
          </w:p>
          <w:p>
            <w:pPr>
              <w:pStyle w:val="ListParagraph"/>
              <w:numPr>
                <w:ilvl w:val="0"/>
                <w:numId w:val="2"/>
              </w:numPr>
            </w:pPr>
            <w:r>
              <w:rPr>
                <w:i w:val="false"/>
                <w:iCs w:val="false"/>
                <w:color w:val="000000"/>
                <w:sz w:val="20"/>
                <w:szCs w:val="20"/>
              </w:rPr>
              <w:t xml:space="preserve">[REQ] 112
cleaning duties.  The Contractor is responsible, through the CO/COR, for obtaining 
access to buildings and arranging for each room/area to be opened and closed as 
necessary in the performance of contract requirements.  
H.42  FLETC Closure
Should FLETC experience unforeseen closure, the Contractor will not receive payment 
for any services under this contract other than the continuous PM CLIN (i.e., closed for 
inclement weather, unscheduled shutdown, hurricane evacuation, emergency closing, 
etc.).
H.43  Work Scheduling
The Contractor shall control and perform all work as not to cause interference with 
Government business and training or work being performed by other contractors.  The 
Government may award other contracts for additional work at or near the site of work 
under this contract.  The Contractor shall fully cooperate with the other contractors and 
with Government employees, and shall carefully adapt scheduling and performing work 
under this contract to accommodate the additional work, heeding any directions that may 
be provided by the CO/COR.  The Contractor shall not commit, or permit, any act that 
will interfere with the performance of work by another contractor or by Government</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p>
      <w:pPr>
        <w:pStyle w:val="Heading1"/>
        <w:pageBreakBefore/>
      </w:pPr>
      <w:r>
        <w:t xml:space="preserve">VOLUME 3: PRICE</w:t>
      </w:r>
    </w:p>
    <w:p>
      <w:pPr>
        <w:spacing w:after="120"/>
      </w:pPr>
      <w:r>
        <w:rPr>
          <w:b/>
          <w:bCs/>
          <w:sz w:val="22"/>
          <w:szCs w:val="22"/>
        </w:rPr>
        <w:t xml:space="preserve">Page Limit: </w:t>
      </w:r>
      <w:r>
        <w:rPr>
          <w:color w:val="C00000"/>
          <w:sz w:val="22"/>
          <w:szCs w:val="22"/>
        </w:rPr>
        <w:t xml:space="preserve">No limit specified</w:t>
      </w:r>
    </w:p>
    <w:p>
      <w:pPr>
        <w:pStyle w:val="Heading2"/>
      </w:pPr>
      <w:r>
        <w:t xml:space="preserve">SEC-PRICE-1. Price Summary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
              <w:left w:val="single" w:color="C00000" w:sz="1"/>
              <w:bottom w:val="single" w:color="C00000" w:sz="1"/>
              <w:right w:val="single" w:color="C00000" w:sz="1"/>
            </w:tcBorders>
            <w:shd w:fill="FCE4D6" w:val="clear"/>
          </w:tcPr>
          <w:p>
            <w:pPr>
              <w:spacing w:after="80"/>
            </w:pPr>
            <w:r>
              <w:rPr>
                <w:b/>
                <w:bCs/>
                <w:color w:val="C00000"/>
                <w:sz w:val="18"/>
                <w:szCs w:val="18"/>
                <w:smallCaps/>
              </w:rPr>
              <w:t xml:space="preserve">SECTION L - INSTRUCTIONS</w:t>
            </w:r>
          </w:p>
          <w:p>
            <w:pPr>
              <w:pStyle w:val="ListParagraph"/>
              <w:numPr>
                <w:ilvl w:val="0"/>
                <w:numId w:val="2"/>
              </w:numPr>
            </w:pPr>
            <w:r>
              <w:rPr>
                <w:i w:val="false"/>
                <w:iCs w:val="false"/>
                <w:color w:val="000000"/>
                <w:sz w:val="20"/>
                <w:szCs w:val="20"/>
              </w:rPr>
              <w:t xml:space="preserve">[Review RFP Section L for specific requirements for Price Summary]</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B050" w:sz="1"/>
              <w:left w:val="single" w:color="00B050" w:sz="1"/>
              <w:bottom w:val="single" w:color="00B050" w:sz="1"/>
              <w:right w:val="single" w:color="00B050" w:sz="1"/>
            </w:tcBorders>
            <w:shd w:fill="E2F0D9" w:val="clear"/>
          </w:tcPr>
          <w:p>
            <w:pPr>
              <w:spacing w:after="80"/>
            </w:pPr>
            <w:r>
              <w:rPr>
                <w:b/>
                <w:bCs/>
                <w:color w:val="00B050"/>
                <w:sz w:val="18"/>
                <w:szCs w:val="18"/>
                <w:smallCaps/>
              </w:rPr>
              <w:t xml:space="preserve">WIN THEMES &amp; DISCRIMINATORS</w:t>
            </w:r>
          </w:p>
          <w:p>
            <w:pPr>
              <w:pStyle w:val="ListParagraph"/>
              <w:numPr>
                <w:ilvl w:val="0"/>
                <w:numId w:val="2"/>
              </w:numPr>
            </w:pPr>
            <w:r>
              <w:rPr>
                <w:i/>
                <w:iCs/>
                <w:color w:val="404040"/>
                <w:sz w:val="20"/>
                <w:szCs w:val="20"/>
              </w:rPr>
              <w:t xml:space="preserve">[Enter discriminator/strength for this section]</w:t>
            </w:r>
          </w:p>
          <w:p>
            <w:pPr>
              <w:pStyle w:val="ListParagraph"/>
              <w:numPr>
                <w:ilvl w:val="0"/>
                <w:numId w:val="2"/>
              </w:numPr>
            </w:pPr>
            <w:r>
              <w:rPr>
                <w:i/>
                <w:iCs/>
                <w:color w:val="404040"/>
                <w:sz w:val="20"/>
                <w:szCs w:val="20"/>
              </w:rPr>
              <w:t xml:space="preserve">[Feature → Benefit → Proof structure]</w:t>
            </w:r>
          </w:p>
          <w:p>
            <w:pPr>
              <w:pStyle w:val="ListParagraph"/>
              <w:numPr>
                <w:ilvl w:val="0"/>
                <w:numId w:val="2"/>
              </w:numPr>
            </w:pPr>
            <w:r>
              <w:rPr>
                <w:i/>
                <w:iCs/>
                <w:color w:val="404040"/>
                <w:sz w:val="20"/>
                <w:szCs w:val="20"/>
              </w:rPr>
              <w:t xml:space="preserve">[Key message that aligns with customer hot buttons]</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D7D31" w:sz="1"/>
              <w:left w:val="single" w:color="ED7D31" w:sz="1"/>
              <w:bottom w:val="single" w:color="ED7D31" w:sz="1"/>
              <w:right w:val="single" w:color="ED7D31" w:sz="1"/>
            </w:tcBorders>
            <w:shd w:fill="FFF2CC" w:val="clear"/>
          </w:tcPr>
          <w:p>
            <w:pPr>
              <w:spacing w:after="80"/>
            </w:pPr>
            <w:r>
              <w:rPr>
                <w:b/>
                <w:bCs/>
                <w:color w:val="ED7D31"/>
                <w:sz w:val="18"/>
                <w:szCs w:val="18"/>
                <w:smallCaps/>
              </w:rPr>
              <w:t xml:space="preserve">PROOF POINTS REQUIRED</w:t>
            </w:r>
          </w:p>
          <w:p>
            <w:pPr>
              <w:pStyle w:val="ListParagraph"/>
              <w:numPr>
                <w:ilvl w:val="0"/>
                <w:numId w:val="2"/>
              </w:numPr>
            </w:pPr>
            <w:r>
              <w:rPr>
                <w:i/>
                <w:iCs/>
                <w:color w:val="404040"/>
                <w:sz w:val="20"/>
                <w:szCs w:val="20"/>
              </w:rPr>
              <w:t xml:space="preserve">[Past performance example needed]</w:t>
            </w:r>
          </w:p>
          <w:p>
            <w:pPr>
              <w:pStyle w:val="ListParagraph"/>
              <w:numPr>
                <w:ilvl w:val="0"/>
                <w:numId w:val="2"/>
              </w:numPr>
            </w:pPr>
            <w:r>
              <w:rPr>
                <w:i/>
                <w:iCs/>
                <w:color w:val="404040"/>
                <w:sz w:val="20"/>
                <w:szCs w:val="20"/>
              </w:rPr>
              <w:t xml:space="preserve">[Quantifiable metric to include (e.g., 99.9% uptime, 40% cost reduction)]</w:t>
            </w:r>
          </w:p>
          <w:p>
            <w:pPr>
              <w:pStyle w:val="ListParagraph"/>
              <w:numPr>
                <w:ilvl w:val="0"/>
                <w:numId w:val="2"/>
              </w:numPr>
            </w:pPr>
            <w:r>
              <w:rPr>
                <w:i/>
                <w:iCs/>
                <w:color w:val="404040"/>
                <w:sz w:val="20"/>
                <w:szCs w:val="20"/>
              </w:rPr>
              <w:t xml:space="preserve">[Certification or qualification to cite]</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5B9BD5" w:sz="1"/>
              <w:left w:val="dashed" w:color="5B9BD5" w:sz="1"/>
              <w:bottom w:val="dashed" w:color="5B9BD5" w:sz="1"/>
              <w:right w:val="dashed" w:color="5B9BD5" w:sz="1"/>
            </w:tcBorders>
            <w:shd w:fill="DEEBF7" w:val="clear"/>
          </w:tcPr>
          <w:p>
            <w:pPr>
              <w:spacing w:after="80"/>
            </w:pPr>
            <w:r>
              <w:rPr>
                <w:b/>
                <w:bCs/>
                <w:color w:val="5B9BD5"/>
                <w:sz w:val="18"/>
                <w:szCs w:val="18"/>
                <w:smallCaps/>
              </w:rPr>
              <w:t xml:space="preserve">PLANNED GRAPHICS</w:t>
            </w:r>
          </w:p>
          <w:p>
            <w:r>
              <w:rPr>
                <w:i/>
                <w:iCs/>
                <w:sz w:val="20"/>
                <w:szCs w:val="20"/>
              </w:rPr>
              <w:t xml:space="preserve">Graphic 1: [Description of planned visual]</w:t>
            </w:r>
          </w:p>
          <w:p>
            <w:pPr>
              <w:ind w:left="360"/>
            </w:pPr>
            <w:r>
              <w:rPr>
                <w:color w:val="404040"/>
                <w:sz w:val="18"/>
                <w:szCs w:val="18"/>
              </w:rPr>
              <w:t xml:space="preserve">Action Caption: [Caption should convey key benefit, not just describe the figure]</w:t>
            </w:r>
          </w:p>
          <w:p>
            <w:pPr>
              <w:spacing w:before="80"/>
            </w:pPr>
            <w:r>
              <w:rPr>
                <w:i/>
                <w:iCs/>
                <w:sz w:val="20"/>
                <w:szCs w:val="20"/>
              </w:rPr>
              <w:t xml:space="preserve">Graphic 2: [Description]</w:t>
            </w:r>
          </w:p>
          <w:p>
            <w:pPr>
              <w:ind w:left="360"/>
            </w:pPr>
            <w:r>
              <w:rPr>
                <w:color w:val="404040"/>
                <w:sz w:val="18"/>
                <w:szCs w:val="18"/>
              </w:rPr>
              <w:t xml:space="preserve">Action Caption: [Caption text]</w:t>
            </w:r>
          </w:p>
        </w:tc>
      </w:tr>
    </w:tbl>
    <w:p>
      <w:pPr>
        <w:shd w:fill="F2F2F2" w:val="clear"/>
        <w:spacing w:before="120" w:after="120"/>
        <w:ind w:left="180" w:right="180"/>
      </w:pPr>
      <w:r>
        <w:rPr>
          <w:b/>
          <w:bCs/>
          <w:color w:val="808080"/>
          <w:sz w:val="18"/>
          <w:szCs w:val="18"/>
          <w:smallCaps/>
        </w:rPr>
        <w:t xml:space="preserve">BOILERPLATE GUIDANCE: </w:t>
      </w:r>
      <w:r>
        <w:rPr>
          <w:i/>
          <w:iCs/>
          <w:color w:val="808080"/>
          <w:sz w:val="18"/>
          <w:szCs w:val="18"/>
        </w:rPr>
        <w:t xml:space="preserve">[Specify: New content required / Adapt from [source] / Use standard boilerplate with tailoring]</w:t>
      </w:r>
    </w:p>
    <w:p>
      <w:pPr>
        <w:pBdr>
          <w:bottom w:val="dashed" w:color="404040" w:sz="1"/>
        </w:pBdr>
        <w:spacing w:before="200" w:after="100"/>
      </w:pPr>
      <w:r>
        <w:rPr>
          <w:b/>
          <w:bCs/>
          <w:color w:val="404040"/>
          <w:sz w:val="24"/>
          <w:szCs w:val="24"/>
        </w:rPr>
        <w:t xml:space="preserve">CONTENT AREA</w:t>
      </w:r>
    </w:p>
    <w:p>
      <w:pPr>
        <w:spacing w:after="100"/>
      </w:pPr>
      <w:r>
        <w:rPr>
          <w:i/>
          <w:iCs/>
          <w:color w:val="404040"/>
          <w:sz w:val="20"/>
          <w:szCs w:val="20"/>
        </w:rPr>
        <w:t xml:space="preserve">[Writer: Begin proposal content here. Address ALL requirements above.]</w:t>
      </w:r>
    </w:p>
    <w:p>
      <w:pPr>
        <w:spacing w:after="100"/>
      </w:pPr>
    </w:p>
    <w:p>
      <w:pPr>
        <w:spacing w:after="100"/>
      </w:pPr>
    </w:p>
    <w:p>
      <w:pPr>
        <w:spacing w:after="100"/>
      </w:pPr>
    </w:p>
    <w:p>
      <w:pPr>
        <w:spacing w:after="100"/>
      </w:pPr>
    </w:p>
    <w:p>
      <w:pPr>
        <w:spacing w:after="10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6"/>
        <w:szCs w:val="16"/>
      </w:rPr>
      <w:t xml:space="preserve">[Your Company Name] PROPRIETARY - </w:t>
    </w:r>
    <w:r>
      <w:rPr>
        <w:sz w:val="16"/>
        <w:szCs w:val="16"/>
      </w:rPr>
      <w:t xml:space="preserve">Page </w:t>
    </w:r>
    <w:r>
      <w:rPr>
        <w:sz w:val="16"/>
        <w:szCs w:val="16"/>
      </w:rPr>
      <w:fldChar w:fldCharType="begin"/>
      <w:instrText xml:space="preserve">PAGE</w:instrText>
      <w:fldChar w:fldCharType="separate"/>
      <w:fldChar w:fldCharType="end"/>
    </w:r>
    <w:r>
      <w:rPr>
        <w:sz w:val="16"/>
        <w:szCs w:val="16"/>
      </w:rPr>
      <w:t xml:space="preserve"> of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04040"/>
        <w:sz w:val="18"/>
        <w:szCs w:val="18"/>
      </w:rPr>
      <w:t xml:space="preserve">RFP Analysis - ANNOTATED OUTLINE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b/>
      <w:bCs/>
      <w:color w:val="000000"/>
      <w:sz w:val="48"/>
      <w:szCs w:val="48"/>
      <w:rFonts w:ascii="Arial" w:cs="Arial" w:eastAsia="Arial" w:hAnsi="Arial"/>
    </w:rPr>
  </w:style>
  <w:style w:type="paragraph" w:styleId="Heading1">
    <w:name w:val="Heading 1"/>
    <w:basedOn w:val="Normal"/>
    <w:next w:val="Normal"/>
    <w:qFormat/>
    <w:pPr>
      <w:spacing w:before="360" w:after="120"/>
      <w:outlineLvl w:val="0"/>
    </w:pPr>
    <w:rPr>
      <w:b/>
      <w:bCs/>
      <w:color w:val="000000"/>
      <w:sz w:val="32"/>
      <w:szCs w:val="32"/>
      <w:rFonts w:ascii="Arial" w:cs="Arial" w:eastAsia="Arial" w:hAnsi="Arial"/>
    </w:rPr>
  </w:style>
  <w:style w:type="paragraph" w:styleId="Heading2">
    <w:name w:val="Heading 2"/>
    <w:basedOn w:val="Normal"/>
    <w:next w:val="Normal"/>
    <w:qFormat/>
    <w:pPr>
      <w:spacing w:before="240" w:after="120"/>
      <w:outlineLvl w:val="1"/>
    </w:pPr>
    <w:rPr>
      <w:b/>
      <w:bCs/>
      <w:color w:val="404040"/>
      <w:sz w:val="26"/>
      <w:szCs w:val="26"/>
      <w:rFonts w:ascii="Arial" w:cs="Arial" w:eastAsia="Arial" w:hAnsi="Arial"/>
    </w:rPr>
  </w:style>
  <w:style w:type="paragraph" w:styleId="Heading3">
    <w:name w:val="Heading 3"/>
    <w:basedOn w:val="Normal"/>
    <w:next w:val="Normal"/>
    <w:qFormat/>
    <w:pPr>
      <w:spacing w:before="200" w:after="100"/>
      <w:outlineLvl w:val="2"/>
    </w:pPr>
    <w:rPr>
      <w:b/>
      <w:bCs/>
      <w:color w:val="404040"/>
      <w:sz w:val="24"/>
      <w:szCs w:val="24"/>
      <w:rFonts w:ascii="Arial" w:cs="Arial" w:eastAsia="Arial" w:hAnsi="Arial"/>
    </w:rPr>
  </w:style>
  <w:style w:type="paragraph" w:styleId="AnnotationLabel">
    <w:name w:val="Annotation Label"/>
    <w:basedOn w:val="Normal"/>
    <w:pPr>
      <w:spacing w:before="60" w:after="40"/>
    </w:pPr>
    <w:rPr>
      <w:b/>
      <w:bCs/>
      <w:sz w:val="18"/>
      <w:szCs w:val="18"/>
      <w:smallCaps/>
      <w:rFonts w:ascii="Arial" w:cs="Arial" w:eastAsia="Arial" w:hAnsi="Arial"/>
    </w:rPr>
  </w:style>
  <w:style w:type="paragraph" w:styleId="RequirementText">
    <w:name w:val="Requirement Text"/>
    <w:basedOn w:val="Normal"/>
    <w:pPr>
      <w:spacing w:before="40" w:after="40"/>
      <w:ind w:left="360"/>
    </w:pPr>
    <w:rPr>
      <w:i/>
      <w:iCs/>
      <w:sz w:val="20"/>
      <w:szCs w:val="20"/>
      <w:rFonts w:ascii="Arial" w:cs="Arial" w:eastAsia="Arial" w:hAnsi="Arial"/>
    </w:rPr>
  </w:style>
  <w:style w:type="paragraph" w:styleId="WriterGuidance">
    <w:name w:val="Writer Guidance"/>
    <w:basedOn w:val="Normal"/>
    <w:pPr>
      <w:spacing w:before="80" w:after="80"/>
      <w:ind w:left="360"/>
    </w:pPr>
    <w:rPr>
      <w:color w:val="404040"/>
      <w:sz w:val="20"/>
      <w:szCs w:val="20"/>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2025-12-14T17:15:47.524Z</dcterms:created>
  <dcterms:modified xsi:type="dcterms:W3CDTF">2025-12-14T17:15:47.533Z</dcterms:modified>
</cp:coreProperties>
</file>

<file path=docProps/custom.xml><?xml version="1.0" encoding="utf-8"?>
<Properties xmlns="http://schemas.openxmlformats.org/officeDocument/2006/custom-properties" xmlns:vt="http://schemas.openxmlformats.org/officeDocument/2006/docPropsVTypes"/>
</file>