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procedures in providing written objection to the use of non-government advisors.</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pPr>
        <w:pStyle w:val="Heading2"/>
      </w:pPr>
      <w:r>
        <w:rPr>
          <w:color w:val="C00000"/>
        </w:rPr>
        <w:t xml:space="preserve">⚠️ P0 CONSTRAINTS - DISQUALIFICATION RISKS</w:t>
      </w:r>
    </w:p>
    <w:p>
      <w:pPr>
        <w:pBdr>
          <w:left w:val="single" w:color="C00000" w:sz="12"/>
        </w:pBdr>
        <w:shd w:fill="FCE4D6" w:val="clear"/>
        <w:spacing w:after="120"/>
        <w:ind w:left="180"/>
      </w:pPr>
      <w:r>
        <w:rPr>
          <w:b/>
          <w:bCs/>
          <w:color w:val="C00000"/>
          <w:sz w:val="22"/>
          <w:szCs w:val="22"/>
        </w:rPr>
        <w:t xml:space="preserve">CRITICAL: The following constraints are Pass/Fail. Violation of ANY P0 constraint may result in proposal rejection without further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Type</w:t>
            </w:r>
          </w:p>
        </w:tc>
        <w:tc>
          <w:tcPr>
            <w:tcW w:type="dxa" w:w="3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Constraint</w:t>
            </w:r>
          </w:p>
        </w:tc>
        <w:tc>
          <w:tcPr>
            <w:tcW w:type="dxa" w:w="18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Applies To</w:t>
            </w:r>
          </w:p>
        </w:tc>
        <w:tc>
          <w:tcPr>
            <w:tcW w:type="dxa" w:w="256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Consequence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Page limit: 1 pages</w:t>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Executive Summary: 6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7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8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12-point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10-point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MARGIN</w:t>
            </w:r>
          </w:p>
        </w:tc>
        <w:tc>
          <w:tcPr>
            <w:tcW w:type="dxa" w:w="3500"/>
            <w:tcBorders>
              <w:top w:val="single" w:color="C00000" w:sz="2"/>
              <w:left w:val="single" w:color="C00000" w:sz="2"/>
              <w:bottom w:val="single" w:color="C00000" w:sz="2"/>
              <w:right w:val="single" w:color="C00000" w:sz="2"/>
            </w:tcBorders>
          </w:tcPr>
          <w:p>
            <w:r>
              <w:rPr>
                <w:sz w:val="18"/>
                <w:szCs w:val="18"/>
              </w:rPr>
              <w:t xml:space="preserve">Margins: 1-inch margins all around</w:t>
            </w:r>
          </w:p>
        </w:tc>
        <w:tc>
          <w:tcPr>
            <w:tcW w:type="dxa" w:w="1800"/>
            <w:tcBorders>
              <w:top w:val="single" w:color="C00000" w:sz="2"/>
              <w:left w:val="single" w:color="C00000" w:sz="2"/>
              <w:bottom w:val="single" w:color="C00000" w:sz="2"/>
              <w:right w:val="single" w:color="C00000" w:sz="2"/>
            </w:tcBorders>
          </w:tcPr>
          <w:p>
            <w:r>
              <w:rPr>
                <w:sz w:val="18"/>
                <w:szCs w:val="18"/>
              </w:rPr>
              <w:t xml:space="preserve">Cost worksheets (11x17)</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Microsoft Excel</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Adobe Acrobat PDF</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SUBMISSION_METHOD</w:t>
            </w:r>
          </w:p>
        </w:tc>
        <w:tc>
          <w:tcPr>
            <w:tcW w:type="dxa" w:w="3500"/>
            <w:tcBorders>
              <w:top w:val="single" w:color="C00000" w:sz="2"/>
              <w:left w:val="single" w:color="C00000" w:sz="2"/>
              <w:bottom w:val="single" w:color="C00000" w:sz="2"/>
              <w:right w:val="single" w:color="C00000" w:sz="2"/>
            </w:tcBorders>
          </w:tcPr>
          <w:p>
            <w:r>
              <w:rPr>
                <w:sz w:val="18"/>
                <w:szCs w:val="18"/>
              </w:rPr>
              <w:t xml:space="preserve">Electronic submission only via secure file transfer (eBuy/GSA)</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Email and physical submissions are NOT acceptable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DEADLINE</w:t>
            </w:r>
          </w:p>
        </w:tc>
        <w:tc>
          <w:tcPr>
            <w:tcW w:type="dxa" w:w="3500"/>
            <w:tcBorders>
              <w:top w:val="single" w:color="C00000" w:sz="2"/>
              <w:left w:val="single" w:color="C00000" w:sz="2"/>
              <w:bottom w:val="single" w:color="C00000" w:sz="2"/>
              <w:right w:val="single" w:color="C00000" w:sz="2"/>
            </w:tcBorders>
          </w:tcPr>
          <w:p>
            <w:r>
              <w:rPr>
                <w:sz w:val="18"/>
                <w:szCs w:val="18"/>
              </w:rPr>
              <w:t xml:space="preserve">Proposals must be received by deadline</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Late proposals may make Offeror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Technical subfactors must not receive 'Unacceptable'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technical subfactors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Unacceptable rating on ANY technical subfactor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Price criteria must not receive 'Non-Compliant'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price criteria</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Non-compliant rating on ANY price criteria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Page limit: 1 pages</w:t>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Executive Summary: 6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7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8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12-point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10-point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MARGIN</w:t>
            </w:r>
          </w:p>
        </w:tc>
        <w:tc>
          <w:tcPr>
            <w:tcW w:type="dxa" w:w="3500"/>
            <w:tcBorders>
              <w:top w:val="single" w:color="C00000" w:sz="2"/>
              <w:left w:val="single" w:color="C00000" w:sz="2"/>
              <w:bottom w:val="single" w:color="C00000" w:sz="2"/>
              <w:right w:val="single" w:color="C00000" w:sz="2"/>
            </w:tcBorders>
          </w:tcPr>
          <w:p>
            <w:r>
              <w:rPr>
                <w:sz w:val="18"/>
                <w:szCs w:val="18"/>
              </w:rPr>
              <w:t xml:space="preserve">Margins: 1-inch margins all around</w:t>
            </w:r>
          </w:p>
        </w:tc>
        <w:tc>
          <w:tcPr>
            <w:tcW w:type="dxa" w:w="1800"/>
            <w:tcBorders>
              <w:top w:val="single" w:color="C00000" w:sz="2"/>
              <w:left w:val="single" w:color="C00000" w:sz="2"/>
              <w:bottom w:val="single" w:color="C00000" w:sz="2"/>
              <w:right w:val="single" w:color="C00000" w:sz="2"/>
            </w:tcBorders>
          </w:tcPr>
          <w:p>
            <w:r>
              <w:rPr>
                <w:sz w:val="18"/>
                <w:szCs w:val="18"/>
              </w:rPr>
              <w:t xml:space="preserve">Cost worksheets (11x17)</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Microsoft Excel</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Adobe Acrobat PDF</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SUBMISSION_METHOD</w:t>
            </w:r>
          </w:p>
        </w:tc>
        <w:tc>
          <w:tcPr>
            <w:tcW w:type="dxa" w:w="3500"/>
            <w:tcBorders>
              <w:top w:val="single" w:color="C00000" w:sz="2"/>
              <w:left w:val="single" w:color="C00000" w:sz="2"/>
              <w:bottom w:val="single" w:color="C00000" w:sz="2"/>
              <w:right w:val="single" w:color="C00000" w:sz="2"/>
            </w:tcBorders>
          </w:tcPr>
          <w:p>
            <w:r>
              <w:rPr>
                <w:sz w:val="18"/>
                <w:szCs w:val="18"/>
              </w:rPr>
              <w:t xml:space="preserve">Electronic submission only via secure file transfer (eBuy/GSA)</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Email and physical submissions are NOT acceptable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DEADLINE</w:t>
            </w:r>
          </w:p>
        </w:tc>
        <w:tc>
          <w:tcPr>
            <w:tcW w:type="dxa" w:w="3500"/>
            <w:tcBorders>
              <w:top w:val="single" w:color="C00000" w:sz="2"/>
              <w:left w:val="single" w:color="C00000" w:sz="2"/>
              <w:bottom w:val="single" w:color="C00000" w:sz="2"/>
              <w:right w:val="single" w:color="C00000" w:sz="2"/>
            </w:tcBorders>
          </w:tcPr>
          <w:p>
            <w:r>
              <w:rPr>
                <w:sz w:val="18"/>
                <w:szCs w:val="18"/>
              </w:rPr>
              <w:t xml:space="preserve">Proposals must be received by deadline</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Late proposals may make Offeror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Technical subfactors must not receive 'Unacceptable'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technical subfactors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Unacceptable rating on ANY technical subfactor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Price criteria must not receive 'Non-Compliant'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price criteria</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Non-compliant rating on ANY price criteria = ineligible for award</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pPr>
        <w:pStyle w:val="Heading2"/>
      </w:pPr>
      <w:r>
        <w:t xml:space="preserve">Adjectival Rating Definitions</w:t>
      </w:r>
    </w:p>
    <w:p>
      <w:pPr>
        <w:spacing w:after="120"/>
      </w:pPr>
      <w:r>
        <w:rPr>
          <w:color w:val="0070C0"/>
          <w:sz w:val="20"/>
          <w:szCs w:val="20"/>
        </w:rPr>
        <w:t xml:space="preserve">Understanding the rating scale is essential for targeting Exceptional ratings on key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Rating</w:t>
            </w:r>
          </w:p>
        </w:tc>
        <w:tc>
          <w:tcPr>
            <w:tcW w:type="dxa" w:w="736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Definition</w:t>
            </w:r>
          </w:p>
        </w:tc>
      </w:tr>
      <w:tr>
        <w:tc>
          <w:tcPr>
            <w:tcW w:type="dxa" w:w="2000"/>
            <w:tcBorders>
              <w:top w:val="single" w:color="0070C0" w:sz="1"/>
              <w:left w:val="single" w:color="0070C0" w:sz="1"/>
              <w:bottom w:val="single" w:color="0070C0" w:sz="1"/>
              <w:right w:val="single" w:color="0070C0" w:sz="1"/>
            </w:tcBorders>
          </w:tcPr>
          <w:p>
            <w:r>
              <w:rPr>
                <w:b/>
                <w:bCs/>
                <w:color w:val="00B050"/>
                <w:sz w:val="20"/>
                <w:szCs w:val="20"/>
              </w:rPr>
              <w:t xml:space="preserve">Exceptional</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multiple strengths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92D050"/>
                <w:sz w:val="20"/>
                <w:szCs w:val="20"/>
              </w:rPr>
              <w:t xml:space="preserve">Very 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at least one strength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FFC000"/>
                <w:sz w:val="20"/>
                <w:szCs w:val="20"/>
              </w:rPr>
              <w:t xml:space="preserve">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meets the minimum requirements of the solicitation and/or raises government confidence that the Offeror is capable of meeting expectations.</w:t>
            </w:r>
          </w:p>
        </w:tc>
      </w:tr>
      <w:tr>
        <w:tc>
          <w:tcPr>
            <w:tcW w:type="dxa" w:w="2000"/>
            <w:tcBorders>
              <w:top w:val="single" w:color="0070C0" w:sz="1"/>
              <w:left w:val="single" w:color="0070C0" w:sz="1"/>
              <w:bottom w:val="single" w:color="0070C0" w:sz="1"/>
              <w:right w:val="single" w:color="0070C0" w:sz="1"/>
            </w:tcBorders>
          </w:tcPr>
          <w:p>
            <w:r>
              <w:rPr>
                <w:b/>
                <w:bCs/>
                <w:color w:val="C00000"/>
                <w:sz w:val="20"/>
                <w:szCs w:val="20"/>
              </w:rPr>
              <w:t xml:space="preserve">Unacceptable</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does not clearly meet the minimum requirements of the solicitation and/or lowers government confidence that the Offeror is capable of meeting expectations.</w:t>
            </w:r>
          </w:p>
        </w:tc>
      </w:tr>
    </w:tbl>
    <w:p>
      <w:pPr>
        <w:spacing w:after="200"/>
      </w:pP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 Sheet: CLIN 000X Travel Estimate ===
** Create a breakout of projected travel and ODC costs which will be linked to the appropriate tab
include links to environments and environment agnostic/independent tabs |  |  |  |  |  |  | 
Platform Team | # People | # Days | Location | Event | Cost/person | Total Cost | 
24x7 Support team | 2 | 5 | Vandenberg SFB, CA | Quarterly Program Incrementals | 25...</w:t>
            </w:r>
          </w:p>
          <w:p>
            <w:pPr>
              <w:pStyle w:val="ListParagraph"/>
              <w:numPr>
                <w:ilvl w:val="0"/>
                <w:numId w:val="2"/>
              </w:numPr>
            </w:pPr>
            <w:r>
              <w:rPr>
                <w:i w:val="false"/>
                <w:iCs w:val="false"/>
                <w:color w:val="000000"/>
                <w:sz w:val="20"/>
                <w:szCs w:val="20"/>
              </w:rPr>
              <w:t xml:space="preserve">CUI 
 CUI 4  
Table of Contents 
1 Introduction ............................................................................................................................. 5 
2 Program Management .............................................................................................................. 8 
2.1 General ...............................................................................</w:t>
            </w:r>
          </w:p>
          <w:p>
            <w:pPr>
              <w:pStyle w:val="ListParagraph"/>
              <w:numPr>
                <w:ilvl w:val="0"/>
                <w:numId w:val="2"/>
              </w:numPr>
            </w:pPr>
            <w:r>
              <w:rPr>
                <w:i w:val="false"/>
                <w:iCs w:val="false"/>
                <w:color w:val="000000"/>
                <w:sz w:val="20"/>
                <w:szCs w:val="20"/>
              </w:rPr>
              <w:t xml:space="preserve">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w:t>
            </w:r>
          </w:p>
          <w:p>
            <w:pPr>
              <w:pStyle w:val="ListParagraph"/>
              <w:numPr>
                <w:ilvl w:val="0"/>
                <w:numId w:val="2"/>
              </w:numPr>
            </w:pPr>
            <w:r>
              <w:rPr>
                <w:i w:val="false"/>
                <w:iCs w:val="false"/>
                <w:color w:val="000000"/>
                <w:sz w:val="20"/>
                <w:szCs w:val="20"/>
              </w:rPr>
              <w:t xml:space="preserve">The contractor shall report events within 48 hours of identification or within 
24 hours of the event, whichever comes sooner.  
2.1.9 The Contractor shall establish necessary subcontracts and ensure the flow down of 
Intellectual Property assertions, Program Management requirements, and Personnel and 
Staffing requirements. The Contractor shall ensure that subcontractor data available to 
the Con...</w:t>
            </w:r>
          </w:p>
          <w:p>
            <w:pPr>
              <w:pStyle w:val="ListParagraph"/>
              <w:numPr>
                <w:ilvl w:val="0"/>
                <w:numId w:val="2"/>
              </w:numPr>
            </w:pPr>
            <w:r>
              <w:rPr>
                <w:i w:val="false"/>
                <w:iCs w:val="false"/>
                <w:color w:val="000000"/>
                <w:sz w:val="20"/>
                <w:szCs w:val="20"/>
              </w:rPr>
              <w:t xml:space="preserve">This includes, but is not limited to, changes to product resourcing, 
security, interfaces (i.e., connections, data, messaging), commercial tooling, and any 
major product revisions. 
2.2.5 The Contractor shall provide weekly activity reports summarizing key milestones, 
activities, and operational benefits (e.g., removed X-hours of manual tasks with 
automated function).   
2.3 Meeting Support an...</w:t>
            </w:r>
          </w:p>
          <w:p>
            <w:pPr>
              <w:pStyle w:val="ListParagraph"/>
              <w:numPr>
                <w:ilvl w:val="0"/>
                <w:numId w:val="2"/>
              </w:numPr>
            </w:pPr>
            <w:r>
              <w:rPr>
                <w:i w:val="false"/>
                <w:iCs w:val="false"/>
                <w:color w:val="000000"/>
                <w:sz w:val="20"/>
                <w:szCs w:val="20"/>
              </w:rPr>
              <w:t xml:space="preserve">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w:t>
            </w:r>
          </w:p>
          <w:p>
            <w:pPr>
              <w:pStyle w:val="ListParagraph"/>
              <w:numPr>
                <w:ilvl w:val="0"/>
                <w:numId w:val="2"/>
              </w:numPr>
            </w:pPr>
            <w:r>
              <w:rPr>
                <w:i w:val="false"/>
                <w:iCs w:val="false"/>
                <w:color w:val="000000"/>
                <w:sz w:val="20"/>
                <w:szCs w:val="20"/>
              </w:rPr>
              <w:t xml:space="preserve">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w:t>
            </w:r>
          </w:p>
          <w:p>
            <w:pPr>
              <w:pStyle w:val="ListParagraph"/>
              <w:numPr>
                <w:ilvl w:val="0"/>
                <w:numId w:val="2"/>
              </w:numPr>
            </w:pPr>
            <w:r>
              <w:rPr>
                <w:i w:val="false"/>
                <w:iCs w:val="false"/>
                <w:color w:val="000000"/>
                <w:sz w:val="20"/>
                <w:szCs w:val="20"/>
              </w:rPr>
              <w:t xml:space="preserve">CUI 
 CUI 18  
• Desktop support 
• Storage arrays  
• Edge Devices 
• Last mile connectivity to KM environment(s) 
• Manage external data feeds to Space C2 environments 
5.2.2 The Contractor shall provide support to transition Space C2 mission operations from 
existing systems to modern products through scheduled and unscheduled support actions 
that maintain the status and health of the system a...</w:t>
            </w:r>
          </w:p>
          <w:p>
            <w:pPr>
              <w:pStyle w:val="ListParagraph"/>
              <w:numPr>
                <w:ilvl w:val="0"/>
                <w:numId w:val="2"/>
              </w:numPr>
            </w:pPr>
            <w:r>
              <w:rPr>
                <w:i w:val="false"/>
                <w:iCs w:val="false"/>
                <w:color w:val="000000"/>
                <w:sz w:val="20"/>
                <w:szCs w:val="20"/>
              </w:rPr>
              <w:t xml:space="preserve">CUI 
 CUI 20  
7.1.3 The on-ramp plan shall include how the Contractor shall successfully integrate services 
and products and their respective environments. This includes, but is not limited to 
SDANet, SPARTAN, C2Ops on-prem, and the Space C2 software (i.e., ATLAS, Iris, 
Hyperion clusters). 
7.1.4 The on-ramp plan shall include the staffing required over time to complete the on-ramp 
and the Co...</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Points of Contact 
Offerors shall provide primary and alternate points of contact including job title, telephone 
number and email address responsible for working non-disclosure agreements and subcontractor 
agreements as well as all program management and contracting functions for this delivery order.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Force Base, CA; 
alternative locations may include, but are not limited to, Dahlgren Naval Support 
Facility, VA and Schriever SFB, CO. The duration and frequency may change as 
requested by the SPO.  
2.3.8 The Contractor shall make their own travel and lodging arrangements and shall ensure all 
required security requirements (e.g., Visit Requests) required for access to installations 
and/or facilities are completed prior to travel.  Compact Cars and Economy seats shall be 
used when available. 
2.3.9 The Contractor shall support meetings with mission partners and stakeholders as needed 
at required classification levels at a minimum Quarterly. 
2.4 Contract Data Requirements List (CDRL)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 
2.6         Associate Contractor Agreements &amp; Other Agreements 
2.4.6 The Contractor shall enter into ACAs with the contractors listed at Vandenberg Space 
Force Base (VSFB) to support cross-project integration for accomplishment of the SPO’s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Level (IL)-4 e-mail), Microsoft 
(MS) Teams, Mattermost, Jira, Jira Align, and Confluence. 
2.1.3 The Contractor shall utilize government-furnished common services identified within the 
current Service Description Document managed via the Space C2 Configuration 
Management Board (CMB). Exceptions to use of specified common services shall be 
approved by the Government. 
2.1.4 The Contractor shall maintain awareness of the Space C2 Development Teams 
implementation of a Development, Security, and Operations (DevSecOps) approach as 
managed by the Space C2 CMB. 
2.1.5 The Contractor shall proactively support collaborative root cause analysis and 
incorporate results in future processes, tooling, instrumentation, procedural changes, 
and/or software development to minimize reoccurrence of cyber, operational, and/or 
development disruptions. 
2.1.6 The Contractor shall provide contract status information for SPO management purposes.  
This includes SPO level reviews, executive reviews, independent program reviews and 
assessments, inspections, milestone events, budget excursions, and user conferences. 
2.1.7 The Contractor shall define conditions and process in writing for notifying the SPO of 
significant events to include security violations, cyber/network intrusions, criminal 
investigations, adverse financial and schedule information, and mishap reports regarding 
hardware or personnel. The contractor shall report significant events to the Government 
Lead, or their designee, within 24 hours of the event.  
2.1.8 The Contractor shall notify the Government Lead, or their designee, of Government 
Senior Leadership or other stakeholder program visits as well as program media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1"/>
        <w:pageBreakBefore/>
      </w:pPr>
      <w:r>
        <w:t xml:space="preserve">VOLUME 3: CONTRACT DOCUMENTATION VOLUME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V3-FORMS. Mandatory 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V3-CERTS. Certifications and Representations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FAR 52.204-7 Online Representations</w:t>
            </w:r>
          </w:p>
          <w:p>
            <w:pPr>
              <w:pStyle w:val="ListParagraph"/>
              <w:numPr>
                <w:ilvl w:val="0"/>
                <w:numId w:val="2"/>
              </w:numPr>
            </w:pPr>
            <w:r>
              <w:rPr>
                <w:i w:val="false"/>
                <w:iCs w:val="false"/>
                <w:color w:val="000000"/>
                <w:sz w:val="20"/>
                <w:szCs w:val="20"/>
              </w:rPr>
              <w:t xml:space="preserve">Agency-specific certifications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CONTRACT DOCUMENTATION</w:t>
      </w:r>
    </w:p>
    <w:p>
      <w:pPr>
        <w:pBdr>
          <w:left w:val="single" w:color="C00000" w:sz="12"/>
        </w:pBdr>
        <w:shd w:fill="FCE4D6" w:val="clear"/>
        <w:spacing w:after="120"/>
        <w:ind w:left="180"/>
      </w:pPr>
      <w:r>
        <w:rPr>
          <w:b/>
          <w:bCs/>
          <w:color w:val="C00000"/>
          <w:sz w:val="20"/>
          <w:szCs w:val="20"/>
        </w:rPr>
        <w:t xml:space="preserve">PASS/FAIL: All items in this volume are mandatory. Missing or incomplete documents may result in proposal rejection.</w:t>
      </w:r>
    </w:p>
    <w:p>
      <w:pPr>
        <w:pStyle w:val="Heading2"/>
      </w:pPr>
      <w:r>
        <w:t xml:space="preserve">Mandatory Forms and Certifications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00"/>
        <w:gridCol w:w="1600"/>
        <w:gridCol w:w="1060"/>
      </w:tblGrid>
      <w:tr>
        <w:trPr>
          <w:tblHeader/>
        </w:trPr>
        <w:tc>
          <w:tcPr>
            <w:tcW w:type="dxa" w:w="500"/>
            <w:tcBorders>
              <w:top w:val="single" w:color="666666" w:sz="1"/>
              <w:left w:val="single" w:color="666666" w:sz="1"/>
              <w:bottom w:val="single" w:color="666666" w:sz="1"/>
              <w:right w:val="single" w:color="666666" w:sz="1"/>
            </w:tcBorders>
            <w:shd w:fill="D5D5D5" w:val="clear"/>
          </w:tcPr>
          <w:p>
            <w:pPr>
              <w:jc w:val="center"/>
            </w:pPr>
            <w:r>
              <w:rPr>
                <w:b/>
                <w:bCs/>
                <w:sz w:val="20"/>
                <w:szCs w:val="20"/>
              </w:rPr>
              <w:t xml:space="preserve">✓</w:t>
            </w:r>
          </w:p>
        </w:tc>
        <w:tc>
          <w:tcPr>
            <w:tcW w:type="dxa" w:w="2200"/>
            <w:tcBorders>
              <w:top w:val="single" w:color="666666" w:sz="1"/>
              <w:left w:val="single" w:color="666666" w:sz="1"/>
              <w:bottom w:val="single" w:color="666666" w:sz="1"/>
              <w:right w:val="single" w:color="666666" w:sz="1"/>
            </w:tcBorders>
            <w:shd w:fill="D5D5D5" w:val="clear"/>
          </w:tcPr>
          <w:p>
            <w:r>
              <w:rPr>
                <w:b/>
                <w:bCs/>
                <w:sz w:val="20"/>
                <w:szCs w:val="20"/>
              </w:rPr>
              <w:t xml:space="preserve">Document</w:t>
            </w:r>
          </w:p>
        </w:tc>
        <w:tc>
          <w:tcPr>
            <w:tcW w:type="dxa" w:w="4000"/>
            <w:tcBorders>
              <w:top w:val="single" w:color="666666" w:sz="1"/>
              <w:left w:val="single" w:color="666666" w:sz="1"/>
              <w:bottom w:val="single" w:color="666666" w:sz="1"/>
              <w:right w:val="single" w:color="666666" w:sz="1"/>
            </w:tcBorders>
            <w:shd w:fill="D5D5D5" w:val="clear"/>
          </w:tcPr>
          <w:p>
            <w:r>
              <w:rPr>
                <w:b/>
                <w:bCs/>
                <w:sz w:val="20"/>
                <w:szCs w:val="20"/>
              </w:rPr>
              <w:t xml:space="preserve">Description / Instructions</w:t>
            </w:r>
          </w:p>
        </w:tc>
        <w:tc>
          <w:tcPr>
            <w:tcW w:type="dxa" w:w="1600"/>
            <w:tcBorders>
              <w:top w:val="single" w:color="666666" w:sz="1"/>
              <w:left w:val="single" w:color="666666" w:sz="1"/>
              <w:bottom w:val="single" w:color="666666" w:sz="1"/>
              <w:right w:val="single" w:color="666666" w:sz="1"/>
            </w:tcBorders>
            <w:shd w:fill="D5D5D5" w:val="clear"/>
          </w:tcPr>
          <w:p>
            <w:r>
              <w:rPr>
                <w:b/>
                <w:bCs/>
                <w:sz w:val="20"/>
                <w:szCs w:val="20"/>
              </w:rPr>
              <w:t xml:space="preserve">Reference</w:t>
            </w:r>
          </w:p>
        </w:tc>
        <w:tc>
          <w:tcPr>
            <w:tcW w:type="dxa" w:w="1060"/>
            <w:tcBorders>
              <w:top w:val="single" w:color="666666" w:sz="1"/>
              <w:left w:val="single" w:color="666666" w:sz="1"/>
              <w:bottom w:val="single" w:color="666666" w:sz="1"/>
              <w:right w:val="single" w:color="666666" w:sz="1"/>
            </w:tcBorders>
            <w:shd w:fill="D5D5D5" w:val="clear"/>
          </w:tcPr>
          <w:p>
            <w:r>
              <w:rPr>
                <w:b/>
                <w:bCs/>
                <w:sz w:val="20"/>
                <w:szCs w:val="20"/>
              </w:rPr>
              <w:t xml:space="preserve">Status</w:t>
            </w:r>
          </w:p>
        </w:tc>
      </w:tr>
      <w:tr>
        <w:tc>
          <w:tcPr>
            <w:tcW w:type="dxa" w:w="500"/>
            <w:tcBorders>
              <w:top w:val="single" w:color="666666" w:sz="1"/>
              <w:left w:val="single" w:color="666666" w:sz="1"/>
              <w:bottom w:val="single" w:color="666666" w:sz="1"/>
              <w:right w:val="single" w:color="666666" w:sz="1"/>
            </w:tcBorders>
          </w:tcPr>
          <w:p>
            <w:pPr>
              <w:jc w:val="center"/>
            </w:pPr>
            <w:r>
              <w:rPr>
                <w:sz w:val="24"/>
                <w:szCs w:val="24"/>
              </w:rPr>
              <w:t xml:space="preserve">☐</w:t>
            </w:r>
          </w:p>
        </w:tc>
        <w:tc>
          <w:tcPr>
            <w:tcW w:type="dxa" w:w="2200"/>
            <w:tcBorders>
              <w:top w:val="single" w:color="666666" w:sz="1"/>
              <w:left w:val="single" w:color="666666" w:sz="1"/>
              <w:bottom w:val="single" w:color="666666" w:sz="1"/>
              <w:right w:val="single" w:color="666666" w:sz="1"/>
            </w:tcBorders>
          </w:tcPr>
          <w:p>
            <w:r>
              <w:rPr>
                <w:b/>
                <w:bCs/>
                <w:sz w:val="18"/>
                <w:szCs w:val="18"/>
              </w:rPr>
              <w:t xml:space="preserve">Representations and Certifications</w:t>
            </w:r>
            <w:r>
              <w:rPr>
                <w:color w:val="C00000"/>
                <w:sz w:val="16"/>
                <w:szCs w:val="16"/>
              </w:rPr>
              <w:t xml:space="preserve"> [P/F]</w:t>
            </w:r>
          </w:p>
        </w:tc>
        <w:tc>
          <w:tcPr>
            <w:tcW w:type="dxa" w:w="4000"/>
            <w:tcBorders>
              <w:top w:val="single" w:color="666666" w:sz="1"/>
              <w:left w:val="single" w:color="666666" w:sz="1"/>
              <w:bottom w:val="single" w:color="666666" w:sz="1"/>
              <w:right w:val="single" w:color="666666" w:sz="1"/>
            </w:tcBorders>
          </w:tcPr>
          <w:p>
            <w:r>
              <w:rPr>
                <w:sz w:val="18"/>
                <w:szCs w:val="18"/>
              </w:rPr>
              <w:t xml:space="preserve">Completed certifications per solicitation</w:t>
            </w:r>
          </w:p>
        </w:tc>
        <w:tc>
          <w:tcPr>
            <w:tcW w:type="dxa" w:w="1600"/>
            <w:tcBorders>
              <w:top w:val="single" w:color="666666" w:sz="1"/>
              <w:left w:val="single" w:color="666666" w:sz="1"/>
              <w:bottom w:val="single" w:color="666666" w:sz="1"/>
              <w:right w:val="single" w:color="666666" w:sz="1"/>
            </w:tcBorders>
          </w:tcPr>
          <w:p>
            <w:r>
              <w:rPr>
                <w:color w:val="0070C0"/>
                <w:sz w:val="18"/>
                <w:szCs w:val="18"/>
              </w:rPr>
            </w:r>
          </w:p>
        </w:tc>
        <w:tc>
          <w:tcPr>
            <w:tcW w:type="dxa" w:w="1060"/>
            <w:tcBorders>
              <w:top w:val="single" w:color="666666" w:sz="1"/>
              <w:left w:val="single" w:color="666666" w:sz="1"/>
              <w:bottom w:val="single" w:color="666666" w:sz="1"/>
              <w:right w:val="single" w:color="666666" w:sz="1"/>
            </w:tcBorders>
          </w:tcPr>
          <w:p>
            <w:r>
              <w:rPr>
                <w:i/>
                <w:iCs/>
                <w:color w:val="404040"/>
                <w:sz w:val="16"/>
                <w:szCs w:val="16"/>
              </w:rPr>
              <w:t xml:space="preserve">Pending</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VOLUME 3 COMPLETION CHECKLIST</w:t>
            </w:r>
          </w:p>
          <w:p>
            <w:pPr>
              <w:pStyle w:val="ListParagraph"/>
              <w:numPr>
                <w:ilvl w:val="0"/>
                <w:numId w:val="2"/>
              </w:numPr>
            </w:pPr>
            <w:r>
              <w:rPr>
                <w:i w:val="false"/>
                <w:iCs w:val="false"/>
                <w:color w:val="000000"/>
                <w:sz w:val="20"/>
                <w:szCs w:val="20"/>
              </w:rPr>
              <w:t xml:space="preserve">☐ SF1449 - Completed with all required fields (Blocks 12-17)</w:t>
            </w:r>
          </w:p>
          <w:p>
            <w:pPr>
              <w:pStyle w:val="ListParagraph"/>
              <w:numPr>
                <w:ilvl w:val="0"/>
                <w:numId w:val="2"/>
              </w:numPr>
            </w:pPr>
            <w:r>
              <w:rPr>
                <w:i w:val="false"/>
                <w:iCs w:val="false"/>
                <w:color w:val="000000"/>
                <w:sz w:val="20"/>
                <w:szCs w:val="20"/>
              </w:rPr>
              <w:t xml:space="preserve">☐ Online Representations - Verify SAM.gov registration is current</w:t>
            </w:r>
          </w:p>
          <w:p>
            <w:pPr>
              <w:pStyle w:val="ListParagraph"/>
              <w:numPr>
                <w:ilvl w:val="0"/>
                <w:numId w:val="2"/>
              </w:numPr>
            </w:pPr>
            <w:r>
              <w:rPr>
                <w:i w:val="false"/>
                <w:iCs w:val="false"/>
                <w:color w:val="000000"/>
                <w:sz w:val="20"/>
                <w:szCs w:val="20"/>
              </w:rPr>
              <w:t xml:space="preserve">☐ FAR 52.204-7 - Submit evidence of registration</w:t>
            </w:r>
          </w:p>
          <w:p>
            <w:pPr>
              <w:pStyle w:val="ListParagraph"/>
              <w:numPr>
                <w:ilvl w:val="0"/>
                <w:numId w:val="2"/>
              </w:numPr>
            </w:pPr>
            <w:r>
              <w:rPr>
                <w:i w:val="false"/>
                <w:iCs w:val="false"/>
                <w:color w:val="000000"/>
                <w:sz w:val="20"/>
                <w:szCs w:val="20"/>
              </w:rPr>
              <w:t xml:space="preserve">☐ Security Forms - DD-254 if applicable (verify classification requirements)</w:t>
            </w:r>
          </w:p>
          <w:p>
            <w:pPr>
              <w:pStyle w:val="ListParagraph"/>
              <w:numPr>
                <w:ilvl w:val="0"/>
                <w:numId w:val="2"/>
              </w:numPr>
            </w:pPr>
            <w:r>
              <w:rPr>
                <w:i w:val="false"/>
                <w:iCs w:val="false"/>
                <w:color w:val="000000"/>
                <w:sz w:val="20"/>
                <w:szCs w:val="20"/>
              </w:rPr>
              <w:t xml:space="preserve">☐ Certifications - All agency-specific certifications completed</w:t>
            </w:r>
          </w:p>
          <w:p>
            <w:pPr>
              <w:pStyle w:val="ListParagraph"/>
              <w:numPr>
                <w:ilvl w:val="0"/>
                <w:numId w:val="2"/>
              </w:numPr>
            </w:pPr>
            <w:r>
              <w:rPr>
                <w:i w:val="false"/>
                <w:iCs w:val="false"/>
                <w:color w:val="000000"/>
                <w:sz w:val="20"/>
                <w:szCs w:val="20"/>
              </w:rPr>
              <w:t xml:space="preserve">☐ Subcontracting Plan - Required if over simplified acquisition threshold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procedures in providing written objection to the use of non-government advisors.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2025-12-14T13:52:01.860Z</dcterms:created>
  <dcterms:modified xsi:type="dcterms:W3CDTF">2025-12-14T13:52:01.860Z</dcterms:modified>
</cp:coreProperties>
</file>

<file path=docProps/custom.xml><?xml version="1.0" encoding="utf-8"?>
<Properties xmlns="http://schemas.openxmlformats.org/officeDocument/2006/custom-properties" xmlns:vt="http://schemas.openxmlformats.org/officeDocument/2006/docPropsVTypes"/>
</file>