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ANNOTATED PROPOSAL OUTLINE</w:t>
      </w:r>
    </w:p>
    <w:p>
      <w:pPr>
        <w:spacing w:before="400" w:after="400"/>
        <w:jc w:val="center"/>
      </w:pPr>
      <w:r>
        <w:rPr>
          <w:b/>
          <w:bCs/>
          <w:color w:val="000000"/>
          <w:sz w:val="36"/>
          <w:szCs w:val="36"/>
        </w:rPr>
        <w:t xml:space="preserve">RFP 75N96025R00004</w:t>
      </w:r>
    </w:p>
    <w:p>
      <w:pPr>
        <w:spacing w:after="200"/>
        <w:jc w:val="center"/>
      </w:pPr>
      <w:r>
        <w:rPr>
          <w:sz w:val="24"/>
          <w:szCs w:val="24"/>
        </w:rPr>
        <w:t xml:space="preserve">Solicitation Number: null</w:t>
      </w:r>
    </w:p>
    <w:p>
      <w:pPr>
        <w:spacing w:after="600"/>
        <w:jc w:val="center"/>
      </w:pPr>
      <w:r>
        <w:rPr>
          <w:b/>
          <w:bCs/>
          <w:color w:val="C00000"/>
          <w:sz w:val="24"/>
          <w:szCs w:val="24"/>
        </w:rPr>
        <w:t xml:space="preserve">Proposal Due: TBD</w:t>
      </w:r>
    </w:p>
    <w:p>
      <w:pPr>
        <w:spacing w:before="800"/>
        <w:jc w:val="center"/>
      </w:pPr>
      <w:r>
        <w:rPr>
          <w:sz w:val="22"/>
          <w:szCs w:val="22"/>
        </w:rPr>
        <w:t xml:space="preserve">Prepared by: [Your Company Name]</w:t>
      </w:r>
    </w:p>
    <w:p>
      <w:pPr>
        <w:pBdr>
          <w:top w:val="single" w:color="000000" w:sz="6"/>
        </w:pBdr>
        <w:spacing w:before="1200" w:after="400"/>
        <w:jc w:val="center"/>
      </w:pPr>
      <w:r>
        <w:rPr>
          <w:i/>
          <w:iCs/>
          <w:sz w:val="20"/>
          <w:szCs w:val="20"/>
        </w:rPr>
        <w:t xml:space="preserve">This annotated outline serves as the master template for all proposal content development. </w:t>
      </w:r>
      <w:r>
        <w:rPr>
          <w:i/>
          <w:iCs/>
          <w:sz w:val="20"/>
          <w:szCs w:val="20"/>
        </w:rPr>
        <w:t xml:space="preserve">All writers must address every annotated requirement and follow the page allocations specified.</w:t>
      </w:r>
    </w:p>
    <w:p>
      <w:r>
        <w:br w:type="page"/>
      </w:r>
    </w:p>
    <w:p>
      <w:pPr>
        <w:pStyle w:val="Heading1"/>
      </w:pPr>
      <w:r>
        <w:t xml:space="preserve">SUBMISSION &amp; FORMAT REQUIREMENTS</w:t>
      </w:r>
    </w:p>
    <w:p>
      <w:pPr>
        <w:spacing w:after="200"/>
      </w:pPr>
      <w:r>
        <w:rPr>
          <w:b/>
          <w:bCs/>
          <w:color w:val="C00000"/>
        </w:rPr>
        <w:t xml:space="preserve">CRITICAL: Non-compliance with format requirements may result in proposal disqualification.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FC000" w:val="clear"/>
          </w:tcPr>
          <w:p>
            <w:r>
              <w:rPr>
                <w:b/>
                <w:bCs/>
                <w:sz w:val="22"/>
                <w:szCs w:val="22"/>
              </w:rPr>
              <w:t xml:space="preserve">Due Date</w:t>
            </w:r>
          </w:p>
        </w:tc>
        <w:tc>
          <w:tcPr>
            <w:tcW w:type="dxa" w:w="6360"/>
            <w:tcBorders>
              <w:top w:val="single" w:color="CCCCCC" w:sz="1"/>
              <w:left w:val="single" w:color="CCCCCC" w:sz="1"/>
              <w:bottom w:val="single" w:color="CCCCCC" w:sz="1"/>
              <w:right w:val="single" w:color="CCCCCC" w:sz="1"/>
            </w:tcBorders>
            <w:shd w:fill="FFC000" w:val="clear"/>
          </w:tcPr>
          <w:p>
            <w:r>
              <w:rPr>
                <w:color w:val="000000"/>
                <w:sz w:val="22"/>
                <w:szCs w:val="22"/>
              </w:rPr>
              <w:t xml:space="preserve">TBD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Submission Method</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Not Specified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Total Page Limit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See individual volumes</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12 pt</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Margins</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Line Spacing</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Page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8.5" x 11" (Letter)</w:t>
            </w:r>
          </w:p>
        </w:tc>
      </w:tr>
    </w:tbl>
    <w:p>
      <w:pPr>
        <w:spacing w:after="200"/>
      </w:pPr>
    </w:p>
    <w:p>
      <w:r>
        <w:br w:type="page"/>
      </w:r>
    </w:p>
    <w:p>
      <w:pPr>
        <w:pStyle w:val="Heading2"/>
      </w:pPr>
      <w:r>
        <w:t xml:space="preserve">Annotation Color Code Legend</w:t>
      </w:r>
    </w:p>
    <w:p>
      <w:pPr>
        <w:spacing w:after="120"/>
      </w:pPr>
      <w:r>
        <w:rPr>
          <w:sz w:val="20"/>
          <w:szCs w:val="20"/>
        </w:rPr>
        <w:t xml:space="preserve">Requirements are color-coded by source to help writers understand what the customer is asking for (Section C), how to submit it (Section L), and how it will be scored (Section 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D5D5D5" w:val="clear"/>
          </w:tcPr>
          <w:p>
            <w:r>
              <w:rPr>
                <w:b/>
                <w:bCs/>
                <w:sz w:val="20"/>
                <w:szCs w:val="20"/>
              </w:rPr>
              <w:t xml:space="preserve">Color</w:t>
            </w:r>
          </w:p>
        </w:tc>
        <w:tc>
          <w:tcPr>
            <w:tcW w:type="dxa" w:w="3000"/>
            <w:tcBorders>
              <w:top w:val="single" w:color="CCCCCC" w:sz="1"/>
              <w:left w:val="single" w:color="CCCCCC" w:sz="1"/>
              <w:bottom w:val="single" w:color="CCCCCC" w:sz="1"/>
              <w:right w:val="single" w:color="CCCCCC" w:sz="1"/>
            </w:tcBorders>
            <w:shd w:fill="D5D5D5" w:val="clear"/>
          </w:tcPr>
          <w:p>
            <w:r>
              <w:rPr>
                <w:b/>
                <w:bCs/>
                <w:sz w:val="20"/>
                <w:szCs w:val="20"/>
              </w:rPr>
              <w:t xml:space="preserve">Source</w:t>
            </w:r>
          </w:p>
        </w:tc>
        <w:tc>
          <w:tcPr>
            <w:tcW w:type="dxa" w:w="4560"/>
            <w:tcBorders>
              <w:top w:val="single" w:color="CCCCCC" w:sz="1"/>
              <w:left w:val="single" w:color="CCCCCC" w:sz="1"/>
              <w:bottom w:val="single" w:color="CCCCCC" w:sz="1"/>
              <w:right w:val="single" w:color="CCCCCC" w:sz="1"/>
            </w:tcBorders>
            <w:shd w:fill="D5D5D5" w:val="clear"/>
          </w:tcPr>
          <w:p>
            <w:r>
              <w:rPr>
                <w:b/>
                <w:bCs/>
                <w:sz w:val="20"/>
                <w:szCs w:val="20"/>
              </w:rPr>
              <w:t xml:space="preserve">Purpose</w:t>
            </w:r>
          </w:p>
        </w:tc>
      </w:tr>
      <w:tr>
        <w:tc>
          <w:tcPr>
            <w:tcW w:type="dxa" w:w="1800"/>
            <w:tcBorders>
              <w:top w:val="single" w:color="CCCCCC" w:sz="1"/>
              <w:left w:val="single" w:color="CCCCCC" w:sz="1"/>
              <w:bottom w:val="single" w:color="CCCCCC" w:sz="1"/>
              <w:right w:val="single" w:color="CCCCCC" w:sz="1"/>
            </w:tcBorders>
          </w:tcPr>
          <w:p>
            <w:r>
              <w:rPr>
                <w:b/>
                <w:bCs/>
                <w:color w:val="C00000"/>
                <w:sz w:val="20"/>
                <w:szCs w:val="20"/>
              </w:rPr>
              <w:t xml:space="preserve">RED</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L (Instructions)</w:t>
            </w:r>
          </w:p>
        </w:tc>
        <w:tc>
          <w:tcPr>
            <w:tcW w:type="dxa" w:w="4560"/>
            <w:tcBorders>
              <w:top w:val="single" w:color="CCCCCC" w:sz="1"/>
              <w:left w:val="single" w:color="CCCCCC" w:sz="1"/>
              <w:bottom w:val="single" w:color="CCCCCC" w:sz="1"/>
              <w:right w:val="single" w:color="CCCCCC" w:sz="1"/>
            </w:tcBorders>
          </w:tcPr>
          <w:p>
            <w:r>
              <w:rPr>
                <w:sz w:val="20"/>
                <w:szCs w:val="20"/>
              </w:rPr>
              <w:t xml:space="preserve">How to submit - format, content, page limits</w:t>
            </w:r>
          </w:p>
        </w:tc>
      </w:tr>
      <w:tr>
        <w:tc>
          <w:tcPr>
            <w:tcW w:type="dxa" w:w="1800"/>
            <w:tcBorders>
              <w:top w:val="single" w:color="CCCCCC" w:sz="1"/>
              <w:left w:val="single" w:color="CCCCCC" w:sz="1"/>
              <w:bottom w:val="single" w:color="CCCCCC" w:sz="1"/>
              <w:right w:val="single" w:color="CCCCCC" w:sz="1"/>
            </w:tcBorders>
          </w:tcPr>
          <w:p>
            <w:r>
              <w:rPr>
                <w:b/>
                <w:bCs/>
                <w:color w:val="0070C0"/>
                <w:sz w:val="20"/>
                <w:szCs w:val="20"/>
              </w:rPr>
              <w:t xml:space="preserve">BLUE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M (Evaluation)</w:t>
            </w:r>
          </w:p>
        </w:tc>
        <w:tc>
          <w:tcPr>
            <w:tcW w:type="dxa" w:w="4560"/>
            <w:tcBorders>
              <w:top w:val="single" w:color="CCCCCC" w:sz="1"/>
              <w:left w:val="single" w:color="CCCCCC" w:sz="1"/>
              <w:bottom w:val="single" w:color="CCCCCC" w:sz="1"/>
              <w:right w:val="single" w:color="CCCCCC" w:sz="1"/>
            </w:tcBorders>
          </w:tcPr>
          <w:p>
            <w:r>
              <w:rPr>
                <w:sz w:val="20"/>
                <w:szCs w:val="20"/>
              </w:rPr>
              <w:t xml:space="preserve">How proposal will be scored - criteria, weights</w:t>
            </w:r>
          </w:p>
        </w:tc>
      </w:tr>
      <w:tr>
        <w:tc>
          <w:tcPr>
            <w:tcW w:type="dxa" w:w="1800"/>
            <w:tcBorders>
              <w:top w:val="single" w:color="CCCCCC" w:sz="1"/>
              <w:left w:val="single" w:color="CCCCCC" w:sz="1"/>
              <w:bottom w:val="single" w:color="CCCCCC" w:sz="1"/>
              <w:right w:val="single" w:color="CCCCCC" w:sz="1"/>
            </w:tcBorders>
          </w:tcPr>
          <w:p>
            <w:r>
              <w:rPr>
                <w:b/>
                <w:bCs/>
                <w:color w:val="7030A0"/>
                <w:sz w:val="20"/>
                <w:szCs w:val="20"/>
              </w:rPr>
              <w:t xml:space="preserve">PURPLE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C/PWS/SOW</w:t>
            </w:r>
          </w:p>
        </w:tc>
        <w:tc>
          <w:tcPr>
            <w:tcW w:type="dxa" w:w="4560"/>
            <w:tcBorders>
              <w:top w:val="single" w:color="CCCCCC" w:sz="1"/>
              <w:left w:val="single" w:color="CCCCCC" w:sz="1"/>
              <w:bottom w:val="single" w:color="CCCCCC" w:sz="1"/>
              <w:right w:val="single" w:color="CCCCCC" w:sz="1"/>
            </w:tcBorders>
          </w:tcPr>
          <w:p>
            <w:r>
              <w:rPr>
                <w:sz w:val="20"/>
                <w:szCs w:val="20"/>
              </w:rPr>
              <w:t xml:space="preserve">What to do - technical requirements, scope</w:t>
            </w:r>
          </w:p>
        </w:tc>
      </w:tr>
      <w:tr>
        <w:tc>
          <w:tcPr>
            <w:tcW w:type="dxa" w:w="1800"/>
            <w:tcBorders>
              <w:top w:val="single" w:color="CCCCCC" w:sz="1"/>
              <w:left w:val="single" w:color="CCCCCC" w:sz="1"/>
              <w:bottom w:val="single" w:color="CCCCCC" w:sz="1"/>
              <w:right w:val="single" w:color="CCCCCC" w:sz="1"/>
            </w:tcBorders>
          </w:tcPr>
          <w:p>
            <w:r>
              <w:rPr>
                <w:b/>
                <w:bCs/>
                <w:color w:val="00B050"/>
                <w:sz w:val="20"/>
                <w:szCs w:val="20"/>
              </w:rPr>
              <w:t xml:space="preserve">GREEN</w:t>
            </w:r>
          </w:p>
        </w:tc>
        <w:tc>
          <w:tcPr>
            <w:tcW w:type="dxa" w:w="3000"/>
            <w:tcBorders>
              <w:top w:val="single" w:color="CCCCCC" w:sz="1"/>
              <w:left w:val="single" w:color="CCCCCC" w:sz="1"/>
              <w:bottom w:val="single" w:color="CCCCCC" w:sz="1"/>
              <w:right w:val="single" w:color="CCCCCC" w:sz="1"/>
            </w:tcBorders>
          </w:tcPr>
          <w:p>
            <w:r>
              <w:rPr>
                <w:sz w:val="20"/>
                <w:szCs w:val="20"/>
              </w:rPr>
              <w:t xml:space="preserve">Win Themes</w:t>
            </w:r>
          </w:p>
        </w:tc>
        <w:tc>
          <w:tcPr>
            <w:tcW w:type="dxa" w:w="4560"/>
            <w:tcBorders>
              <w:top w:val="single" w:color="CCCCCC" w:sz="1"/>
              <w:left w:val="single" w:color="CCCCCC" w:sz="1"/>
              <w:bottom w:val="single" w:color="CCCCCC" w:sz="1"/>
              <w:right w:val="single" w:color="CCCCCC" w:sz="1"/>
            </w:tcBorders>
          </w:tcPr>
          <w:p>
            <w:r>
              <w:rPr>
                <w:sz w:val="20"/>
                <w:szCs w:val="20"/>
              </w:rPr>
              <w:t xml:space="preserve">Discriminators and key messages to emphasize</w:t>
            </w:r>
          </w:p>
        </w:tc>
      </w:tr>
      <w:tr>
        <w:tc>
          <w:tcPr>
            <w:tcW w:type="dxa" w:w="1800"/>
            <w:tcBorders>
              <w:top w:val="single" w:color="CCCCCC" w:sz="1"/>
              <w:left w:val="single" w:color="CCCCCC" w:sz="1"/>
              <w:bottom w:val="single" w:color="CCCCCC" w:sz="1"/>
              <w:right w:val="single" w:color="CCCCCC" w:sz="1"/>
            </w:tcBorders>
          </w:tcPr>
          <w:p>
            <w:r>
              <w:rPr>
                <w:b/>
                <w:bCs/>
                <w:color w:val="ED7D31"/>
                <w:sz w:val="20"/>
                <w:szCs w:val="20"/>
              </w:rPr>
              <w:t xml:space="preserve">ORANGE</w:t>
            </w:r>
          </w:p>
        </w:tc>
        <w:tc>
          <w:tcPr>
            <w:tcW w:type="dxa" w:w="3000"/>
            <w:tcBorders>
              <w:top w:val="single" w:color="CCCCCC" w:sz="1"/>
              <w:left w:val="single" w:color="CCCCCC" w:sz="1"/>
              <w:bottom w:val="single" w:color="CCCCCC" w:sz="1"/>
              <w:right w:val="single" w:color="CCCCCC" w:sz="1"/>
            </w:tcBorders>
          </w:tcPr>
          <w:p>
            <w:r>
              <w:rPr>
                <w:sz w:val="20"/>
                <w:szCs w:val="20"/>
              </w:rPr>
              <w:t xml:space="preserve">Proof Points</w:t>
            </w:r>
          </w:p>
        </w:tc>
        <w:tc>
          <w:tcPr>
            <w:tcW w:type="dxa" w:w="4560"/>
            <w:tcBorders>
              <w:top w:val="single" w:color="CCCCCC" w:sz="1"/>
              <w:left w:val="single" w:color="CCCCCC" w:sz="1"/>
              <w:bottom w:val="single" w:color="CCCCCC" w:sz="1"/>
              <w:right w:val="single" w:color="CCCCCC" w:sz="1"/>
            </w:tcBorders>
          </w:tcPr>
          <w:p>
            <w:r>
              <w:rPr>
                <w:sz w:val="20"/>
                <w:szCs w:val="20"/>
              </w:rPr>
              <w:t xml:space="preserve">Evidence needed - past performance, metrics, certs</w:t>
            </w:r>
          </w:p>
        </w:tc>
      </w:tr>
      <w:tr>
        <w:tc>
          <w:tcPr>
            <w:tcW w:type="dxa" w:w="1800"/>
            <w:tcBorders>
              <w:top w:val="single" w:color="CCCCCC" w:sz="1"/>
              <w:left w:val="single" w:color="CCCCCC" w:sz="1"/>
              <w:bottom w:val="single" w:color="CCCCCC" w:sz="1"/>
              <w:right w:val="single" w:color="CCCCCC" w:sz="1"/>
            </w:tcBorders>
          </w:tcPr>
          <w:p>
            <w:r>
              <w:rPr>
                <w:b/>
                <w:bCs/>
                <w:color w:val="5B9BD5"/>
                <w:sz w:val="20"/>
                <w:szCs w:val="20"/>
              </w:rPr>
              <w:t xml:space="preserve">BLUE-GRAY</w:t>
            </w:r>
          </w:p>
        </w:tc>
        <w:tc>
          <w:tcPr>
            <w:tcW w:type="dxa" w:w="3000"/>
            <w:tcBorders>
              <w:top w:val="single" w:color="CCCCCC" w:sz="1"/>
              <w:left w:val="single" w:color="CCCCCC" w:sz="1"/>
              <w:bottom w:val="single" w:color="CCCCCC" w:sz="1"/>
              <w:right w:val="single" w:color="CCCCCC" w:sz="1"/>
            </w:tcBorders>
          </w:tcPr>
          <w:p>
            <w:r>
              <w:rPr>
                <w:sz w:val="20"/>
                <w:szCs w:val="20"/>
              </w:rPr>
              <w:t xml:space="preserve">Graphics</w:t>
            </w:r>
          </w:p>
        </w:tc>
        <w:tc>
          <w:tcPr>
            <w:tcW w:type="dxa" w:w="4560"/>
            <w:tcBorders>
              <w:top w:val="single" w:color="CCCCCC" w:sz="1"/>
              <w:left w:val="single" w:color="CCCCCC" w:sz="1"/>
              <w:bottom w:val="single" w:color="CCCCCC" w:sz="1"/>
              <w:right w:val="single" w:color="CCCCCC" w:sz="1"/>
            </w:tcBorders>
          </w:tcPr>
          <w:p>
            <w:r>
              <w:rPr>
                <w:sz w:val="20"/>
                <w:szCs w:val="20"/>
              </w:rPr>
              <w:t xml:space="preserve">Planned visuals with action captions</w:t>
            </w:r>
          </w:p>
        </w:tc>
      </w:tr>
    </w:tbl>
    <w:p>
      <w:pPr>
        <w:spacing w:after="300"/>
      </w:pPr>
    </w:p>
    <w:p>
      <w:pPr>
        <w:pStyle w:val="Heading1"/>
      </w:pPr>
      <w:r>
        <w:t xml:space="preserve">EVALUATION FACTORS SUMMARY</w:t>
      </w:r>
    </w:p>
    <w:p>
      <w:pPr>
        <w:spacing w:after="200"/>
      </w:pPr>
      <w:r>
        <w:rPr>
          <w:color w:val="0070C0"/>
          <w:sz w:val="20"/>
          <w:szCs w:val="20"/>
        </w:rPr>
        <w:t xml:space="preserve">Understanding how the proposal will be scored is critical. Structure content to directly address each evaluation factor.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060"/>
      </w:tblGrid>
      <w:tr>
        <w:trPr>
          <w:tblHeader/>
        </w:trPr>
        <w:tc>
          <w:tcPr>
            <w:tcW w:type="dxa" w:w="28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Factor</w:t>
            </w:r>
          </w:p>
        </w:tc>
        <w:tc>
          <w:tcPr>
            <w:tcW w:type="dxa" w:w="15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Weight</w:t>
            </w:r>
          </w:p>
        </w:tc>
        <w:tc>
          <w:tcPr>
            <w:tcW w:type="dxa" w:w="506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Key Criteria</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1: Experience</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2: Program And Project Management And Coordination</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3: Technical Approach And Sample Research Outlines</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4: Key Personnel</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5: Environment – Facilities, Equipment, And Security</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6: Past Performance</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bl>
    <w:p>
      <w:r>
        <w:br w:type="page"/>
      </w:r>
    </w:p>
    <w:p>
      <w:pPr>
        <w:pStyle w:val="Heading1"/>
      </w:pPr>
      <w:r>
        <w:t xml:space="preserve">VOLUME 1: TECHNICAL PROPOSAL</w:t>
      </w:r>
    </w:p>
    <w:p>
      <w:pPr>
        <w:spacing w:after="120"/>
      </w:pPr>
      <w:r>
        <w:rPr>
          <w:b/>
          <w:bCs/>
          <w:sz w:val="22"/>
          <w:szCs w:val="22"/>
        </w:rPr>
        <w:t xml:space="preserve">Page Limit: </w:t>
      </w:r>
      <w:r>
        <w:rPr>
          <w:color w:val="C00000"/>
          <w:sz w:val="22"/>
          <w:szCs w:val="22"/>
        </w:rPr>
        <w:t xml:space="preserve">No limit specified</w:t>
      </w:r>
    </w:p>
    <w:p>
      <w:pPr>
        <w:spacing w:after="200"/>
      </w:pPr>
      <w:r>
        <w:rPr>
          <w:b/>
          <w:bCs/>
          <w:color w:val="0070C0"/>
          <w:sz w:val="22"/>
          <w:szCs w:val="22"/>
        </w:rPr>
        <w:t xml:space="preserve">Evaluation Factors: </w:t>
      </w:r>
      <w:r>
        <w:rPr>
          <w:color w:val="0070C0"/>
          <w:sz w:val="22"/>
          <w:szCs w:val="22"/>
        </w:rPr>
        <w:t xml:space="preserve">Factor 2: Program And Project Management And Coordination, Factor 3: Technical Approach And Sample Research Outlines</w:t>
      </w:r>
    </w:p>
    <w:p>
      <w:pPr>
        <w:pStyle w:val="Heading2"/>
      </w:pPr>
      <w:r>
        <w:t xml:space="preserve">SEC-F1. Factor 1: Experience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Basis of Evaluation: The Government will evaluate how well the offeror performed on 
the recent and relevant contracts submitted under Factor 1 - Experience and on other 
recent and relevant contracts documented in known sources. There are three (3) aspects 
of the past performance evaluation: recency, relevancy, and quality. The first is to 
evaluate the recency of the offeror’s past performance. The second aspect is to determine 
whether the offeror’s performance is relevant or not relevant to the effort to be acquired. 
For purposes of this evaluation, a recent and relevant contract is a contract as defined in 
Factor 1, Corporate Experience. The third aspect of the evaluation is to establish the 
overall quality of the offeror’s past performance and how well the contractor performed 
on the contracts. The past performance evaluation performed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w:t>
            </w:r>
          </w:p>
          <w:p>
            <w:pPr>
              <w:pStyle w:val="ListParagraph"/>
              <w:numPr>
                <w:ilvl w:val="0"/>
                <w:numId w:val="2"/>
              </w:numPr>
            </w:pPr>
            <w:r>
              <w:rPr>
                <w:i w:val="false"/>
                <w:iCs w:val="false"/>
                <w:color w:val="000000"/>
                <w:sz w:val="20"/>
                <w:szCs w:val="20"/>
              </w:rPr>
              <w:t xml:space="preserve">[REQ] Solicitation Submittal Requirements: Submit a completed CPARS evaluation for each 
project submitted under Factor 1, Experience. If there is not a completed CPARS 
evaluation, the Past Performance Questionnaire (PPQ) included in the solicitation is 
provided for the offeror or its team members to submit to the client for each contract 
the offeror includes in its proposal for Factor 1 – Corporate Experience. AN 
OFFEROR SHALL NOT SUBMIT A PPQ WHEN A COMPLETED CPARS IS 
AVAILABLE.</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p>
            <w:pPr>
              <w:pStyle w:val="ListParagraph"/>
              <w:numPr>
                <w:ilvl w:val="0"/>
                <w:numId w:val="2"/>
              </w:numPr>
            </w:pPr>
            <w:r>
              <w:rPr>
                <w:i w:val="false"/>
                <w:iCs w:val="false"/>
                <w:color w:val="000000"/>
                <w:sz w:val="20"/>
                <w:szCs w:val="20"/>
              </w:rPr>
              <w:t xml:space="preserve">[REQ] Solicitation Submittal Requirements: Submit a completed CPARS evaluation for each project 
submitted under Factor 1, Experience. If there is not a completed CPARS evaluation, the Past 
Performance Questionnaire (PPQ) included in the solicitation is provided for the offeror or its 
team members to submit to the client for each contract the offeror includes in its proposal for 
Factor 1 – Corporate Experience. AN OFFEROR SHALL NOT SUBMIT A PPQ WHEN A 
COMPLETED CPARS IS A V AILABLE.</w:t>
            </w:r>
          </w:p>
          <w:p>
            <w:pPr>
              <w:pStyle w:val="ListParagraph"/>
              <w:numPr>
                <w:ilvl w:val="0"/>
                <w:numId w:val="2"/>
              </w:numPr>
            </w:pPr>
            <w:r>
              <w:rPr>
                <w:i w:val="false"/>
                <w:iCs w:val="false"/>
                <w:color w:val="000000"/>
                <w:sz w:val="20"/>
                <w:szCs w:val="20"/>
              </w:rPr>
              <w:t xml:space="preserve">[REQ] Solicitation Submittal Requirements: The offeror shall provide a minimum of one (1) and 
a maximum of three (3) examples of recent and relevant contract actions to be 
documented through use of Corporate Experience Project Data Form (Attachment 7). 
The offeror shall clearly demonstrate past experience to perform the services described in 
the Statement of Work. Examples submitted shall be recent and relevant contract actions 
that were similar in size (no less than $150,000), scope, and complexity to the 
requirements described in the Statement of Work (SOW) completed within the last five</w:t>
            </w:r>
          </w:p>
          <w:p>
            <w:pPr>
              <w:pStyle w:val="ListParagraph"/>
              <w:numPr>
                <w:ilvl w:val="0"/>
                <w:numId w:val="2"/>
              </w:numPr>
            </w:pPr>
            <w:r>
              <w:rPr>
                <w:i w:val="false"/>
                <w:iCs w:val="false"/>
                <w:color w:val="000000"/>
                <w:sz w:val="20"/>
                <w:szCs w:val="20"/>
              </w:rPr>
              <w:t xml:space="preserve">[REQ] If the Offeror is a Joint Venture (JV), and the JV has shared relevant experience, at least 
one of the relevant projects should be submitted for the JV entity. If the JV does not have 
shared relevant experience, at least one project shall be submitted for each JV partner. If 
a project was performed by a JV, and not all partners from that JV are on the JV proposed 
for this contract, the offeror shall clearly demonstrate what portion of the work was 
performed by the JV partner offering on this contract and shall not include work 
performed by the JV as a whole. If the Offeror does not specifically address what portion</w:t>
            </w:r>
          </w:p>
          <w:p>
            <w:pPr>
              <w:pStyle w:val="ListParagraph"/>
              <w:numPr>
                <w:ilvl w:val="0"/>
                <w:numId w:val="2"/>
              </w:numPr>
            </w:pPr>
            <w:r>
              <w:rPr>
                <w:i w:val="false"/>
                <w:iCs w:val="false"/>
                <w:color w:val="000000"/>
                <w:sz w:val="20"/>
                <w:szCs w:val="20"/>
              </w:rPr>
              <w:t xml:space="preserve">[REQ] 2.4 For Principal Investigator, provide detail on experience in the conduct and 
reporting of toxicology studies using computational and/or alternative 
methods of similar scope, size and complexity and provide selected 
references for publications relevant to the scope of the RFP. The Principal 
Investigator shall be an employee of the contractor and designated as key 
personnel, considered essential to the contract. General qualifications 
expected of a Principal Investigator include: a Doctorate, or the equivalent 
relevant experience in Life Sciences or Chem/Bio-informatics, with 
demonstrated experience in Chem/Bio-informatics and/or Toxicology; 
demonstrated knowledge of toxicology, validation of alternate toxicological 
test methods, and the use of in vitro and in silico testing methods as they 
relate to the assessment of hazard and safety of chemicals and other agents to 
human health as well as the development of adverse outcome pathways and 
integrated approaches to testing and assessment; demonstrated organizational 
and communication skills.</w:t>
            </w:r>
          </w:p>
          <w:p>
            <w:pPr>
              <w:pStyle w:val="ListParagraph"/>
              <w:numPr>
                <w:ilvl w:val="0"/>
                <w:numId w:val="2"/>
              </w:numPr>
            </w:pPr>
            <w:r>
              <w:rPr>
                <w:i w:val="false"/>
                <w:iCs w:val="false"/>
                <w:color w:val="000000"/>
                <w:sz w:val="20"/>
                <w:szCs w:val="20"/>
              </w:rPr>
              <w:t xml:space="preserve">[REQ] Basis of Evaluation: Offeror demonstrates experience in performing work of similar size, 
scope and complexity to this requirement. The assessment of the offeror’s recent and 
relevant experience will be used as a means of evaluating the capability of the offeror to 
successfully meet the requirements of the RFP. At a minimum, the offeror must submit 
contract actions demonstrating experience: 1. Research, Development, and Validation of 
Computational Toxicological Approaches; 2. Research, Development, and Validation of 
Alternative Test Methods; 3. Meeting Support and Event Hosting; and 4. Communication 
Management (to include the following items: website maintenance, database and 
information support, and training support). The Government will review only the first 
three (3) contract actions submitted. Any contract actions submitted in excess of the three</w:t>
            </w:r>
          </w:p>
          <w:p>
            <w:pPr>
              <w:pStyle w:val="ListParagraph"/>
              <w:numPr>
                <w:ilvl w:val="0"/>
                <w:numId w:val="2"/>
              </w:numPr>
            </w:pPr>
            <w:r>
              <w:rPr>
                <w:i w:val="false"/>
                <w:iCs w:val="false"/>
                <w:color w:val="000000"/>
                <w:sz w:val="20"/>
                <w:szCs w:val="20"/>
              </w:rPr>
              <w:t xml:space="preserve">[REQ] Relevant experience performed by the Offeror as a prime contractor may be considered 
more favorably than experience performed by the Offeror as a subcontractor.</w:t>
            </w:r>
          </w:p>
          <w:p>
            <w:pPr>
              <w:pStyle w:val="ListParagraph"/>
              <w:numPr>
                <w:ilvl w:val="0"/>
                <w:numId w:val="2"/>
              </w:numPr>
            </w:pPr>
            <w:r>
              <w:rPr>
                <w:i w:val="false"/>
                <w:iCs w:val="false"/>
                <w:color w:val="000000"/>
                <w:sz w:val="20"/>
                <w:szCs w:val="20"/>
              </w:rPr>
              <w:t xml:space="preserve">[REQ] 2.5 For Program Manager, provide detail on experience with program 
management and coordination of multidisciplinary projects similar to those 
described in the SOW. The Program Manager shall be an employee of the 
contractor and designated as key personnel. General qualifications expected 
of a Program Manager include: a Master’s degree, or the equivalent, and 
relevant work experience in managing large-scale research programs 
requiring all disciplines; demonstrated capability for effective written and 
oral communication.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SEC-F2. Factor 2: Program And Project Management And Coordination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RFP page 92, Article L.4.B.2.(2).(i). – Factor 2 -- Program and Project Management and 
Coordination – The RFP calls for the offeror’s “draft Information Technology Security Plan” to 
be included in Factor 5.  Additionally, the Evaluation Criteria for Factor 5 indicates that the 
“adequacy of the proposed IT Security Plan” will be evaluated with this Factor [Factor 5].  
However, the “Solicitation Submittal Requirements” for Factor 2 also reference an Information 
Technology Security Plan as an appendix to Factor 2.  Would the Government please confirm that 
the Offeror’s IT Security Plan should be featured as an appendix to Factor 5 only, and not in 
Factor 2?</w:t>
            </w:r>
          </w:p>
          <w:p>
            <w:pPr>
              <w:pStyle w:val="ListParagraph"/>
              <w:numPr>
                <w:ilvl w:val="0"/>
                <w:numId w:val="2"/>
              </w:numPr>
            </w:pPr>
            <w:r>
              <w:rPr>
                <w:i w:val="false"/>
                <w:iCs w:val="false"/>
                <w:color w:val="000000"/>
                <w:sz w:val="20"/>
                <w:szCs w:val="20"/>
              </w:rPr>
              <w:t xml:space="preserve">[REQ] Factor 2, Program and Project Management and Coordination</w:t>
            </w:r>
          </w:p>
          <w:p>
            <w:pPr>
              <w:pStyle w:val="ListParagraph"/>
              <w:numPr>
                <w:ilvl w:val="0"/>
                <w:numId w:val="2"/>
              </w:numPr>
            </w:pPr>
            <w:r>
              <w:rPr>
                <w:i w:val="false"/>
                <w:iCs w:val="false"/>
                <w:color w:val="000000"/>
                <w:sz w:val="20"/>
                <w:szCs w:val="20"/>
              </w:rPr>
              <w:t xml:space="preserve">[REQ] ANSWER:  It is generally expected that any proposed subcontractors submit a complete cost 
proposal in the same format as the offeror’ s cost proposal [ATTACHMENT 11 – Business 
Proposal Template] to the prime offeror for inclusion with the prime offeror’ s Business Proposal 
(see RFP page 93, item 1.9.f. under Factor 2, Program and Project Management and 
Coordination).  
  If, in particular instances, a proposed subcontractor insists that some specific cost 
 information cannot be shared with the prime offeror, that particular proposed subcontractor 
 may contact the Contracting Officer directly (jason.williams2@nih.gov)  to request a secure</w:t>
            </w:r>
          </w:p>
          <w:p>
            <w:pPr>
              <w:pStyle w:val="ListParagraph"/>
              <w:numPr>
                <w:ilvl w:val="0"/>
                <w:numId w:val="2"/>
              </w:numPr>
            </w:pPr>
            <w:r>
              <w:rPr>
                <w:i w:val="false"/>
                <w:iCs w:val="false"/>
                <w:color w:val="000000"/>
                <w:sz w:val="20"/>
                <w:szCs w:val="20"/>
              </w:rPr>
              <w:t xml:space="preserve">[REQ] RFP pages 93-94, Article L.4.B.2.(2)(i) – Factor 2 – Program and Project Management and 
Coordination --  On page 93, the RFP requests a 2-page description for each Key Personnel to be 
included in the proposal body.  On page 94, 2.4 [For PI provide…] and 2.5 [For PM provide…] 
call for additional detail for the PI and PM respectively.  Would the Government please confirm 
that the descriptions required in 2.4 and 2.5 should be presented separately from the content 
provided in 2.1 and that this content does not count toward the 2-page limit per personnel set 
forth in 2.1 [Provide a description for each personnel]?</w:t>
            </w:r>
          </w:p>
          <w:p>
            <w:pPr>
              <w:pStyle w:val="ListParagraph"/>
              <w:numPr>
                <w:ilvl w:val="0"/>
                <w:numId w:val="2"/>
              </w:numPr>
            </w:pPr>
            <w:r>
              <w:rPr>
                <w:i w:val="false"/>
                <w:iCs w:val="false"/>
                <w:color w:val="000000"/>
                <w:sz w:val="20"/>
                <w:szCs w:val="20"/>
              </w:rPr>
              <w:t xml:space="preserve">[REQ] RFP pages 93, 96, Article L.4, Technical Proposal Factor 2 – Program and Project Management 
(page 93) and Factor 4 – Personnel (page 96) – Should offerors include descriptions of the PI and 
PM in the Factor 4 response as well as Factor 2 under section 4.1.2 – Description of Critical 
Personnel?</w:t>
            </w:r>
          </w:p>
          <w:p>
            <w:pPr>
              <w:pStyle w:val="ListParagraph"/>
              <w:numPr>
                <w:ilvl w:val="0"/>
                <w:numId w:val="2"/>
              </w:numPr>
            </w:pPr>
            <w:r>
              <w:rPr>
                <w:i w:val="false"/>
                <w:iCs w:val="false"/>
                <w:color w:val="000000"/>
                <w:sz w:val="20"/>
                <w:szCs w:val="20"/>
              </w:rPr>
              <w:t xml:space="preserve">[REQ] RFP page 111, Section M Evaluation Factors for Award, Factor 2 Program and Project 
Management and Coordination, item i.2. Principal Investigator and Program Manager, last 
sentence – The evaluation criteria for the PM state:  “Appropriateness of the education, training, 
experience, scientific expertise, competency, and accomplishments of the proposed Program 
Manager (as demonstrated in the biographical sketch) familiar with the organization, management 
and coordination of scientific review and evaluation activities…”.  By scientific review and 
evaluation, do you mean NAMs activities?</w:t>
            </w:r>
          </w:p>
          <w:p>
            <w:pPr>
              <w:pStyle w:val="ListParagraph"/>
              <w:numPr>
                <w:ilvl w:val="0"/>
                <w:numId w:val="2"/>
              </w:numPr>
            </w:pPr>
            <w:r>
              <w:rPr>
                <w:i w:val="false"/>
                <w:iCs w:val="false"/>
                <w:color w:val="000000"/>
                <w:sz w:val="20"/>
                <w:szCs w:val="20"/>
              </w:rPr>
              <w:t xml:space="preserve">[REQ] Management Plan and Approach: Appropriateness of the proposed approach 
to program and quality management strategy, including: functional organization 
chart; Quality Management Plan; management of staff, experience of staff 
working together as a team, and communication between the project staff and 
Government staff; details of project scope; scheduling and monitoring of 
progress; relevancy of corporate experience in projects of similar size, scope and 
complexity; evaluation of the offeror’s flexibility to perform various 
multidisciplinary assignments; adequacy of details for arrangement and oversight 
for any proposed subcontractors/consultants.</w:t>
            </w:r>
          </w:p>
          <w:p>
            <w:pPr>
              <w:pStyle w:val="ListParagraph"/>
              <w:numPr>
                <w:ilvl w:val="0"/>
                <w:numId w:val="2"/>
              </w:numPr>
            </w:pPr>
            <w:r>
              <w:rPr>
                <w:i w:val="false"/>
                <w:iCs w:val="false"/>
                <w:color w:val="000000"/>
                <w:sz w:val="20"/>
                <w:szCs w:val="20"/>
              </w:rPr>
              <w:t xml:space="preserve">[REQ] Solicitation Submittal Requirements:  The contract requires a Principal Investigator 
(PI) and Program Manager (PM), both as key personnel. The offerors shall propose a 
delineation of the day-to-day roles and responsibilities of the PI/PM. Collectively, the 
PI and PM are expected to be knowledgeable and involved in all aspects of the 
contract, including project status, record keeping, reporting, and detailed analysis of 
budget for all contract functions. The Offeror shall submit a detailed plan, not to 
exceed 100 pages (two (2) page maximum for the PI; and two (2) pages maximum 
for the PM), addressing all areas below. Any information submitted in excess of the 
100 page limit for this factor will not be considered in the evaluation. This 100 page 
limit does not include the Quality Management Plan, the Biographical Sketches, or 
the Information Technology Security Plan described below.</w:t>
            </w:r>
          </w:p>
          <w:p>
            <w:pPr>
              <w:pStyle w:val="ListParagraph"/>
              <w:numPr>
                <w:ilvl w:val="0"/>
                <w:numId w:val="2"/>
              </w:numPr>
            </w:pPr>
            <w:r>
              <w:rPr>
                <w:i w:val="false"/>
                <w:iCs w:val="false"/>
                <w:color w:val="000000"/>
                <w:sz w:val="20"/>
                <w:szCs w:val="20"/>
              </w:rPr>
              <w:t xml:space="preserve">[REQ] DELIVERABLE REFERENCE DUE/FREQUENCY SUBMIT TO 
Quality Management 
Plan 
Section 
1.6.1.1 
Revise as needed or when major 
changes occur 
COR, CO, and CS 
Monthly Status Reports</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SEC-F3. Factor 3: Technical Approach And Sample Research Outlines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RFP page 94, Article L.4.B.2(3)(i) – Technical Proposal Factor 3 – Technical Approach and 
Sample Research Outlines – The RFP states “The response to Research Outline 7 should not 
include detail but focus on the thought process in developing a research program to meet the 
described objectives”.  Please provide additional clarity on “the thought process in developing a 
research plan”.</w:t>
            </w:r>
          </w:p>
          <w:p>
            <w:pPr>
              <w:pStyle w:val="ListParagraph"/>
              <w:numPr>
                <w:ilvl w:val="0"/>
                <w:numId w:val="2"/>
              </w:numPr>
            </w:pPr>
            <w:r>
              <w:rPr>
                <w:i w:val="false"/>
                <w:iCs w:val="false"/>
                <w:color w:val="000000"/>
                <w:sz w:val="20"/>
                <w:szCs w:val="20"/>
              </w:rPr>
              <w:t xml:space="preserve">[REQ] Factor 3, Technical Approach and Sample Research Outlines</w:t>
            </w:r>
          </w:p>
          <w:p>
            <w:pPr>
              <w:pStyle w:val="ListParagraph"/>
              <w:numPr>
                <w:ilvl w:val="0"/>
                <w:numId w:val="2"/>
              </w:numPr>
            </w:pPr>
            <w:r>
              <w:rPr>
                <w:i w:val="false"/>
                <w:iCs w:val="false"/>
                <w:color w:val="000000"/>
                <w:sz w:val="20"/>
                <w:szCs w:val="20"/>
              </w:rPr>
              <w:t xml:space="preserve">[REQ] New approach methodologies (NAMs) broadly refer to any in silico, in chemico, in vitro, and ex 
vivo technology, methodology, approach, and/or combination thereof, that can provide 
information on chemical and non-chemical hazard and risk assessment while supporting the 
3Rs (replacement, reduction, and refinement of animal studies). Top areas of research focus in 
the evolving NIEHS Strategic Plan include “Developing and building confidence in human-based 
new approach methods”. Related efforts in implementing suitable computational and 
alternative methods for toxicological research have been carried out by DTT/NIEHS scientists in 
support of developing and applying innovative approaches to predict human-relevant health</w:t>
            </w:r>
          </w:p>
          <w:p>
            <w:pPr>
              <w:pStyle w:val="ListParagraph"/>
              <w:numPr>
                <w:ilvl w:val="0"/>
                <w:numId w:val="2"/>
              </w:numPr>
            </w:pPr>
            <w:r>
              <w:rPr>
                <w:i w:val="false"/>
                <w:iCs w:val="false"/>
                <w:color w:val="000000"/>
                <w:sz w:val="20"/>
                <w:szCs w:val="20"/>
              </w:rPr>
              <w:t xml:space="preserve">[REQ] Overall Technical Approach: Appropriateness and feasibility of the 
demonstrated technical approach, including overall strategy, methodologies, 
analyses, technologies, and services, including those that are novel or innovative; 
technical capability in the conduct of toxicological testing using computational 
and alternative methods; including all aspects of the work performed by 
contractor staff and any proposed subcontractors or consultants. Appropriateness 
of the demonstrated understanding of the approach, analysis of the information 
provided in the Sample Research Outlines. Appropriateness of the identification 
of potential problems and solutions, and alternative strategies.</w:t>
            </w:r>
          </w:p>
          <w:p>
            <w:pPr>
              <w:pStyle w:val="ListParagraph"/>
              <w:numPr>
                <w:ilvl w:val="0"/>
                <w:numId w:val="2"/>
              </w:numPr>
            </w:pPr>
            <w:r>
              <w:rPr>
                <w:i w:val="false"/>
                <w:iCs w:val="false"/>
                <w:color w:val="000000"/>
                <w:sz w:val="20"/>
                <w:szCs w:val="20"/>
              </w:rPr>
              <w:t xml:space="preserve">[REQ] Microglia, the principal immune cells in the brain, are activated by a variety of inflammatory factors and 
are likely involved in the pathogenesis of neurodevelopmental and neurodegenerative disorders, 
including autism spectrum disorder, Parkinson’s, and Alzheimer’s disease. To demonstrate the utility of 
human iPSC-derived microglia as a key component in developing the neural network for alternative test 
methods, this research outline is intended to compare experimental procedures for generating iPSC-
derived microglia across multiple laboratories and to develop best practices for data analysis. Several 
experimental protocols are publicly available (e.g., PMID: 33774810, 29606617). Participating 
laboratories will use harmonized protocols to test a defined chemical set. The work in support of this 
research outline can be a multiple year study with phases which are to be completed within a given 
option period. Phase I will define protocols by evaluating the endpoints which may include morphology, 
expression of microglia biomarkers and microglial signature genes, nitric oxide and reactive oxygen 
species production, phagocytosis, microglia migration, and inflammatory cytokine production. Phase II 
will involve the testing of a chemical set of per and polyfluoralkyl substances (PFAS) on microglia 
activation, and analysis of neurotoxicity assay outcomes. The chemicals with a range of physicochemical 
properties and developmental effects will be provided by NIEHS. The data generated in this study will be 
made publicly available.  
B. Research Requirements 
• Phase I: 
o Identify 4 participating laboratories and harmonize differentiation procedures based on 
published protocols to narrow down to two factors to be tested (e.g., components of 
differentiation cocktail, differentiation duration, source of iPSCs, etc). Four laboratories will be 
assigned with similar protocols except for these two factors with two conditions each as shown in 
table below. Assume iPSC cell lines are commercially available. 
 Lab-1 Lab-2 Lab-3 Lab-4 
Factor 1 Condition A Condition B Condition A Condition A 
Factor 2 Condition A Condition A Condition B Condition B</w:t>
            </w:r>
          </w:p>
          <w:p>
            <w:pPr>
              <w:pStyle w:val="ListParagraph"/>
              <w:numPr>
                <w:ilvl w:val="0"/>
                <w:numId w:val="2"/>
              </w:numPr>
            </w:pPr>
            <w:r>
              <w:rPr>
                <w:i w:val="false"/>
                <w:iCs w:val="false"/>
                <w:color w:val="000000"/>
                <w:sz w:val="20"/>
                <w:szCs w:val="20"/>
              </w:rPr>
              <w:t xml:space="preserve">[REQ] ATTACHMENT 2, RFP 75N96025R00004 
 36 
must follow the HHS EPLC framework and methodology and in accordance with the 
HHS Contract Closeout Directive (2018) located at:  
https://oamp.od.nih.gov/sites/default/files/DGS/contracting-forms/HHS-Closeout-
Directive-2018.pdf . HHS EA requirements are located at: 
https://www.hhs.gov/web/governance/digital-strategy/it-policy-archive/hhs-policy-
for-enterprise-architecture.html  and NIH EA requirements are located at: 
https://ocio.nih.gov/PM/Pages/EPLC.aspx .</w:t>
            </w:r>
          </w:p>
          <w:p>
            <w:pPr>
              <w:pStyle w:val="ListParagraph"/>
              <w:numPr>
                <w:ilvl w:val="0"/>
                <w:numId w:val="2"/>
              </w:numPr>
            </w:pPr>
            <w:r>
              <w:rPr>
                <w:i w:val="false"/>
                <w:iCs w:val="false"/>
                <w:color w:val="000000"/>
                <w:sz w:val="20"/>
                <w:szCs w:val="20"/>
              </w:rPr>
              <w:t xml:space="preserve">[REQ] WCAG Conformance Information – The answers in the WCAG success criteria 
are based on the level of conformance being reported (Level A, AA or AAA).  
• These tables are used to answer: 
• Revised Section 508: 
 Chapter 5 Software 
 Chapter 6 Support Documentation 
• T he selected levels of WCAG 2.0 Guidelines. 
• If using a summary table, due to answers applying to multiple criteria, when 
answering for the Revised Section 508, the answers need to be clear about 
which individual criteria the answer applies to. It is possible to either use a 
summary, selecting the worst case for the criteria, or to have separate 
answers or even tables for software, support documentation, authoring tools, 
etc., so long as the methodology used is made clear.</w:t>
            </w:r>
          </w:p>
          <w:p>
            <w:pPr>
              <w:pStyle w:val="ListParagraph"/>
              <w:numPr>
                <w:ilvl w:val="0"/>
                <w:numId w:val="2"/>
              </w:numPr>
            </w:pPr>
            <w:r>
              <w:rPr>
                <w:i w:val="false"/>
                <w:iCs w:val="false"/>
                <w:color w:val="000000"/>
                <w:sz w:val="20"/>
                <w:szCs w:val="20"/>
              </w:rPr>
              <w:t xml:space="preserve">[REQ] The proposal must be prepared in two parts: a "Technical Proposal" and a "Business Proposal." Each of 
the parts shall be separate and complete in itself so that evaluation of one may be accomplished 
independently of, and concurrently with, evaluation of the other. The technical proposal must include 
direct cost and resources information, such as labor-hours and categories and applicable rates, materials, 
subcontracts, travel, etc., and associated costs so that the offeror's understanding of the project may be 
evaluated (See SECTION J, Attachment entitled, TECHNICAL PROPOSAL COST SUMMARY.) 
However, the technical proposal should not include pricing data relating to individual salary information, 
indirect cost rates or amounts, fee amounts (if any), and total costs. The technical proposal should 
disclose your technical approach in as much detail as possible, including, but not limited to, the 
requirements of the technical proposal instructions.</w:t>
            </w:r>
          </w:p>
          <w:p>
            <w:pPr>
              <w:pStyle w:val="ListParagraph"/>
              <w:numPr>
                <w:ilvl w:val="0"/>
                <w:numId w:val="2"/>
              </w:numPr>
            </w:pPr>
            <w:r>
              <w:rPr>
                <w:i w:val="false"/>
                <w:iCs w:val="false"/>
                <w:color w:val="000000"/>
                <w:sz w:val="20"/>
                <w:szCs w:val="20"/>
              </w:rPr>
              <w:t xml:space="preserve">[REQ] Solicitation Submittal Requirements: The criteria described here apply to both the 
overall technical approach as demonstrated in response to the SOW and the required 
capabilities, in addition to proposals for the specific requirements outlined in each of 
the Sample Research Outlines (Attachment 6). The responses to Research Outlines 
1- 6 should be very detailed and describe how all aspects of the work would be</w:t>
            </w:r>
          </w:p>
          <w:p>
            <w:pPr>
              <w:pStyle w:val="ListParagraph"/>
              <w:numPr>
                <w:ilvl w:val="0"/>
                <w:numId w:val="2"/>
              </w:numPr>
            </w:pPr>
            <w:r>
              <w:rPr>
                <w:i w:val="false"/>
                <w:iCs w:val="false"/>
                <w:color w:val="000000"/>
                <w:sz w:val="20"/>
                <w:szCs w:val="20"/>
              </w:rPr>
              <w:t xml:space="preserve">[REQ] All cost proposals will be evaluated on the basis of cost realism analysis for the anticipated cost 
 plus fixed fee type contract.  Therefore, if an offeror is proposing  notably less overall effort than 
 the effort estimates provided in the RFP an offeror must demonstrate in their proposal that all 
 anticipated work can indeed be  performed with less overall effort in accordance with their 
 unique technical approach.  This is to ensure a fair evaluation of cost proposals (and to not give 
 any competitive advantage to unrealistic “low ball” offers as this will be a cost reimbursement-
 type contract whereby the Government assumes the risk of a cost overrun).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SEC-F4. Factor 4: Key Personnel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2.5 For Program Manager, provide detail on experience with program 
management and coordination of multidisciplinary projects similar to those 
described in the SOW. The Program Manager shall be an employee of the 
contractor and designated as key personnel. General qualifications expected 
of a Program Manager include: a Master’s degree, or the equivalent, and 
relevant work experience in managing large-scale research programs 
requiring all disciplines; demonstrated capability for effective written and 
oral communication.</w:t>
            </w:r>
          </w:p>
          <w:p>
            <w:pPr>
              <w:pStyle w:val="ListParagraph"/>
              <w:numPr>
                <w:ilvl w:val="0"/>
                <w:numId w:val="2"/>
              </w:numPr>
            </w:pPr>
            <w:r>
              <w:rPr>
                <w:i w:val="false"/>
                <w:iCs w:val="false"/>
                <w:color w:val="000000"/>
                <w:sz w:val="20"/>
                <w:szCs w:val="20"/>
              </w:rPr>
              <w:t xml:space="preserve">[REQ] RFP page 96, Article L.4.B.2(4)(i) – Technical Proposal Factor 4 – Personnel item 1.3 
Biographical sketches – For ease of reference, would the Government permit offerors to include 
all Biographical Sketches within a single Appendix?  If not, please clarify where the Biographical 
Sketches for Key Personnel should be included.  Both Factor 2 and Factor 4 refer to Biographical 
Sketches for Key Personnel.</w:t>
            </w:r>
          </w:p>
          <w:p>
            <w:pPr>
              <w:pStyle w:val="ListParagraph"/>
              <w:numPr>
                <w:ilvl w:val="0"/>
                <w:numId w:val="2"/>
              </w:numPr>
            </w:pPr>
            <w:r>
              <w:rPr>
                <w:i w:val="false"/>
                <w:iCs w:val="false"/>
                <w:color w:val="000000"/>
                <w:sz w:val="20"/>
                <w:szCs w:val="20"/>
              </w:rPr>
              <w:t xml:space="preserve">[REQ] Solicitation Submittal Requirements:  The contract requires a Principal Investigator 
(PI) and Program Manager (PM), both as key personnel. The offerors shall propose a 
delineation of the day-to-day roles and responsibilities of the PI/PM. Collectively, the 
PI and PM are expected to be knowledgeable and involved in all aspects of the 
contract, including project status, record keeping, reporting, and detailed analysis of 
budget for all contract functions. The Offeror shall submit a detailed plan, not to 
exceed 100 pages (two (2) page maximum for the PI; and two (2) pages maximum 
for the PM), addressing all areas below. Any information submitted in excess of the 
100 page limit for this factor will not be considered in the evaluation. This 100 page 
limit does not include the Quality Management Plan, the Biographical Sketches, or 
the Information Technology Security Plan described below.</w:t>
            </w:r>
          </w:p>
          <w:p>
            <w:pPr>
              <w:pStyle w:val="ListParagraph"/>
              <w:numPr>
                <w:ilvl w:val="0"/>
                <w:numId w:val="2"/>
              </w:numPr>
            </w:pPr>
            <w:r>
              <w:rPr>
                <w:i w:val="false"/>
                <w:iCs w:val="false"/>
                <w:color w:val="000000"/>
                <w:sz w:val="20"/>
                <w:szCs w:val="20"/>
              </w:rPr>
              <w:t xml:space="preserve">[REQ] 1.9.1 Professional Personnel 
The Key Personnel (Principal Investigator and Program Manager) must be approved by the CO 
and shall be employees of the prime Contract organization and members of the professional</w:t>
            </w:r>
          </w:p>
          <w:p>
            <w:pPr>
              <w:pStyle w:val="ListParagraph"/>
              <w:numPr>
                <w:ilvl w:val="0"/>
                <w:numId w:val="2"/>
              </w:numPr>
            </w:pPr>
            <w:r>
              <w:rPr>
                <w:i w:val="false"/>
                <w:iCs w:val="false"/>
                <w:color w:val="000000"/>
                <w:sz w:val="20"/>
                <w:szCs w:val="20"/>
              </w:rPr>
              <w:t xml:space="preserve">[REQ] personnel with an individual with equal or better capability. The replacement of 
key personnel should only occur under circumstances where the Offeror can 
demonstrate a compelling reason for such substitution, and any proposed 
replacements must meet the qualifications and standards specified in the original</w:t>
            </w:r>
          </w:p>
          <w:p>
            <w:pPr>
              <w:pStyle w:val="ListParagraph"/>
              <w:numPr>
                <w:ilvl w:val="0"/>
                <w:numId w:val="2"/>
              </w:numPr>
            </w:pPr>
            <w:r>
              <w:rPr>
                <w:i w:val="false"/>
                <w:iCs w:val="false"/>
                <w:color w:val="000000"/>
                <w:sz w:val="20"/>
                <w:szCs w:val="20"/>
              </w:rPr>
              <w:t xml:space="preserve">[REQ] As part of the Technical Proposal addressing Factor 4 – Personnel (see Section L 
 Technical Proposal Instructions pages 95-97), offerors will identify all personnel  described and 
 their specific duties and availability to the program (percent time/hours).</w:t>
            </w:r>
          </w:p>
          <w:p>
            <w:pPr>
              <w:pStyle w:val="ListParagraph"/>
              <w:numPr>
                <w:ilvl w:val="0"/>
                <w:numId w:val="2"/>
              </w:numPr>
            </w:pPr>
            <w:r>
              <w:rPr>
                <w:i w:val="false"/>
                <w:iCs w:val="false"/>
                <w:color w:val="000000"/>
                <w:sz w:val="20"/>
                <w:szCs w:val="20"/>
              </w:rPr>
              <w:t xml:space="preserve">[REQ] RFP pages 93, 96, Article L.4, Technical Proposal Factor 2 – Program and Project Management 
(page 93) and Factor 4 – Personnel (page 96) – Should offerors include descriptions of the PI and 
PM in the Factor 4 response as well as Factor 2 under section 4.1.2 – Description of Critical 
Personnel?</w:t>
            </w:r>
          </w:p>
          <w:p>
            <w:pPr>
              <w:pStyle w:val="ListParagraph"/>
              <w:numPr>
                <w:ilvl w:val="0"/>
                <w:numId w:val="2"/>
              </w:numPr>
            </w:pPr>
            <w:r>
              <w:rPr>
                <w:i w:val="false"/>
                <w:iCs w:val="false"/>
                <w:color w:val="000000"/>
                <w:sz w:val="20"/>
                <w:szCs w:val="20"/>
              </w:rPr>
              <w:t xml:space="preserve">[REQ] ANSWER:  Factor 2 shall include biographical sketches for PI and PM while Factor 4 shall 
include biographical sketches for professional and technical personnel.</w:t>
            </w:r>
          </w:p>
          <w:p>
            <w:pPr>
              <w:pStyle w:val="ListParagraph"/>
              <w:numPr>
                <w:ilvl w:val="0"/>
                <w:numId w:val="2"/>
              </w:numPr>
            </w:pPr>
            <w:r>
              <w:rPr>
                <w:i w:val="false"/>
                <w:iCs w:val="false"/>
                <w:color w:val="000000"/>
                <w:sz w:val="20"/>
                <w:szCs w:val="20"/>
              </w:rPr>
              <w:t xml:space="preserve">[REQ] Principal Investigator and Program Manager: Appropriateness of the 
education, training, experience, scientific expertise, competency, and 
accomplishments of the proposed Principal Investigator (as demonstrated in the 
biographical sketch) familiar with in the management and coordination of 
multidisciplinary projects leading to the validation of alternative toxicological 
test methods, as well as demonstrated ability to analyze large disparate data sets 
and integrate in vivo, in vitro and in silico data into novel testing methods; 
proposed specific duties, effort on, and availability to the program. 
Appropriateness of the education, training, experience, scientific expertise, 
competency, and accomplishments of the proposed Program Manager (as 
demonstrated in the biographical sketch) familiar with the organization, 
management and coordination of scientific review and evaluation activities; 
proposed specific duties, effort on, and availability to the program.</w:t>
            </w:r>
          </w:p>
          <w:p>
            <w:pPr>
              <w:pStyle w:val="ListParagraph"/>
              <w:numPr>
                <w:ilvl w:val="0"/>
                <w:numId w:val="2"/>
              </w:numPr>
            </w:pPr>
            <w:r>
              <w:rPr>
                <w:i w:val="false"/>
                <w:iCs w:val="false"/>
                <w:color w:val="000000"/>
                <w:sz w:val="20"/>
                <w:szCs w:val="20"/>
              </w:rPr>
              <w:t xml:space="preserve">[REQ] ATTACHMENT 2, RFP 75N96025R00004 
 9
1.9 Personnel 
This contract requires a high degree of collaboration between Contractor staff, especially 
among the Principal Investigator (PI)/Program Manager (PM), toxicologists, computational 
toxicologists, toxicology data analysts, and chem/bio-informaticists. Each requirement 
described in this SOW shall be performed by an appropriate mix of professional, technical, and 
clerical staff. Contract personnel shall have the expertise to contribute to problem formulation 
and study design as required. Personnel assigned to this contract, including subcontractors 
and/or consultants, shall demonstrate to the COR that there are no conflicts of interest relative 
to the work to be performed prior to conducting work under the contract. Personnel assigned 
to this contract with access to federal IT resources may be required to pass a security 
investigation (Section 4).</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SEC-F5. Factor 5: Environment – Facilities, Equipment, And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Factor 5, Environment – Facilities, Equipment, and Security</w:t>
            </w:r>
          </w:p>
          <w:p>
            <w:pPr>
              <w:pStyle w:val="ListParagraph"/>
              <w:numPr>
                <w:ilvl w:val="0"/>
                <w:numId w:val="2"/>
              </w:numPr>
            </w:pPr>
            <w:r>
              <w:rPr>
                <w:i w:val="false"/>
                <w:iCs w:val="false"/>
                <w:color w:val="000000"/>
                <w:sz w:val="20"/>
                <w:szCs w:val="20"/>
              </w:rPr>
              <w:t xml:space="preserve">[REQ] RFP page 92, Article L.4.B.2.(2).(i). – Factor 2 -- Program and Project Management and 
Coordination – The RFP calls for the offeror’s “draft Information Technology Security Plan” to 
be included in Factor 5.  Additionally, the Evaluation Criteria for Factor 5 indicates that the 
“adequacy of the proposed IT Security Plan” will be evaluated with this Factor [Factor 5].  
However, the “Solicitation Submittal Requirements” for Factor 2 also reference an Information 
Technology Security Plan as an appendix to Factor 2.  Would the Government please confirm that 
the Offeror’s IT Security Plan should be featured as an appendix to Factor 5 only, and not in 
Factor 2?</w:t>
            </w:r>
          </w:p>
          <w:p>
            <w:pPr>
              <w:pStyle w:val="ListParagraph"/>
              <w:numPr>
                <w:ilvl w:val="0"/>
                <w:numId w:val="2"/>
              </w:numPr>
            </w:pPr>
            <w:r>
              <w:rPr>
                <w:i w:val="false"/>
                <w:iCs w:val="false"/>
                <w:color w:val="000000"/>
                <w:sz w:val="20"/>
                <w:szCs w:val="20"/>
              </w:rPr>
              <w:t xml:space="preserve">[REQ] ANSWER:  It is confirmed that the offeror’ s draft Information Technology Security Plan should be 
 featured as an appendix to Factor 5 only.   The reference to the Information Technology 
 Security Plan at the end of paragraph (2)(i) on RFP page 92 is hereby deleted via this RFP 
 Amendment 2.</w:t>
            </w:r>
          </w:p>
          <w:p>
            <w:pPr>
              <w:pStyle w:val="ListParagraph"/>
              <w:numPr>
                <w:ilvl w:val="0"/>
                <w:numId w:val="2"/>
              </w:numPr>
            </w:pPr>
            <w:r>
              <w:rPr>
                <w:i w:val="false"/>
                <w:iCs w:val="false"/>
                <w:color w:val="000000"/>
                <w:sz w:val="20"/>
                <w:szCs w:val="20"/>
              </w:rPr>
              <w:t xml:space="preserve">[REQ] For selected projects, if development and/or qualification efforts cannot be accomplished 
through the primary Contractor, the Contractor shall propose to the COR qualified laboratories 
to conduct validation testing under a subcontract mechanism and present them to the CO and 
COR for approval (Section 3.3). The Contractor shall be responsible for ensuring that the 
qualification study facilities and equipment meet all qualification requirements, including 
adherence to identified protocols, and that appropriate laboratory experience is available at 
the facility. The Contractor shall ensure that no institutional or individual conflict of interest 
(COI) issues exist for the coordination and/or selection of the laboratories participating in the 
qualification studies. No whole mammal or avian studies will be conducted under this contract, 
including by subcontractor.</w:t>
            </w:r>
          </w:p>
          <w:p>
            <w:pPr>
              <w:pStyle w:val="ListParagraph"/>
              <w:numPr>
                <w:ilvl w:val="0"/>
                <w:numId w:val="2"/>
              </w:numPr>
            </w:pPr>
            <w:r>
              <w:rPr>
                <w:i w:val="false"/>
                <w:iCs w:val="false"/>
                <w:color w:val="000000"/>
                <w:sz w:val="20"/>
                <w:szCs w:val="20"/>
              </w:rPr>
              <w:t xml:space="preserve">[REQ] 5.2 Equipment and Software 
The Contractor is required to supply all equipment, property, and services needed to fulfill the 
SOW that are not explicitly specified as being provided by the Government. These materials 
include but are not limited to computers, printers, phones, Microsoft Office, Web-based 
conferencing software, and Adobe Acrobat Professional (for Section 508 compliance). 
Equipment such as computers and printers shall support Internet and Intranet connections, be 
compatible with NIH computer operating systems, and comply with NIH security policies. The 
Contractor shall conform to security requirements or usability guidelines as appropriate.</w:t>
            </w:r>
          </w:p>
          <w:p>
            <w:pPr>
              <w:pStyle w:val="ListParagraph"/>
              <w:numPr>
                <w:ilvl w:val="0"/>
                <w:numId w:val="2"/>
              </w:numPr>
            </w:pPr>
            <w:r>
              <w:rPr>
                <w:i w:val="false"/>
                <w:iCs w:val="false"/>
                <w:color w:val="000000"/>
                <w:sz w:val="20"/>
                <w:szCs w:val="20"/>
              </w:rPr>
              <w:t xml:space="preserve">[REQ] At any tier handling or accessing information, consent to and allow the 
Government, or an independent third party working at the Government's 
direction, without notice at any time during a weekday during regular 
business hours Contractor local time, to access Contractor and subcontractor 
installations, facilities, infrastructure, data centers, equipment (including but 
not limited to all servers, computing devices, and portable media), operations, 
documentation (whether in electronic, paper, or other forms), databases, and 
personnel which are used in performance of the contract.</w:t>
            </w:r>
          </w:p>
          <w:p>
            <w:pPr>
              <w:pStyle w:val="ListParagraph"/>
              <w:numPr>
                <w:ilvl w:val="0"/>
                <w:numId w:val="2"/>
              </w:numPr>
            </w:pPr>
            <w:r>
              <w:rPr>
                <w:i w:val="false"/>
                <w:iCs w:val="false"/>
                <w:color w:val="000000"/>
                <w:sz w:val="20"/>
                <w:szCs w:val="20"/>
              </w:rPr>
              <w:t xml:space="preserve">[REQ] If required to perform activities under the Contract, the Government will provide a secure laptop computer in order for 
the Contractor to have access to the VPN in use at NIEHS, given the proper security clearances are processed for the 
Contractor staff using the equipment. Contractor staff who are granted access to the NIEHS VPN will be required to 
comply with all NIH training requirements for the maintenance of these accounts.</w:t>
            </w:r>
          </w:p>
          <w:p>
            <w:pPr>
              <w:pStyle w:val="ListParagraph"/>
              <w:numPr>
                <w:ilvl w:val="0"/>
                <w:numId w:val="2"/>
              </w:numPr>
            </w:pPr>
            <w:r>
              <w:rPr>
                <w:i w:val="false"/>
                <w:iCs w:val="false"/>
                <w:color w:val="000000"/>
                <w:sz w:val="20"/>
                <w:szCs w:val="20"/>
              </w:rPr>
              <w:t xml:space="preserve">[REQ] “If required to perform activities under the Contract, the Government will provide a secure laptop 
computer in order for the Contractor to have access to the VPN in use at NIEHS, given the proper 
security clearances are processed for the Contractor staff using the equipment. Contractor staff 
who are granted access to the NIEHS VPN will be required to comply with all NIH training 
requirements for the maintenance of these accounts.”</w:t>
            </w:r>
          </w:p>
          <w:p>
            <w:pPr>
              <w:pStyle w:val="ListParagraph"/>
              <w:numPr>
                <w:ilvl w:val="0"/>
                <w:numId w:val="2"/>
              </w:numPr>
            </w:pPr>
            <w:r>
              <w:rPr>
                <w:i w:val="false"/>
                <w:iCs w:val="false"/>
                <w:color w:val="000000"/>
                <w:sz w:val="20"/>
                <w:szCs w:val="20"/>
              </w:rPr>
              <w:t xml:space="preserve">[REQ] In addition to the reports mentioned herein, any incidence or unforeseeable occurrence not 
listed here, including physical modifications to the laboratory facilities and personnel changes 
which may impact study conduct, shall be immediately reported to the Government.</w:t>
            </w:r>
          </w:p>
          <w:p>
            <w:pPr>
              <w:pStyle w:val="ListParagraph"/>
              <w:numPr>
                <w:ilvl w:val="0"/>
                <w:numId w:val="2"/>
              </w:numPr>
            </w:pPr>
            <w:r>
              <w:rPr>
                <w:i w:val="false"/>
                <w:iCs w:val="false"/>
                <w:color w:val="000000"/>
                <w:sz w:val="20"/>
                <w:szCs w:val="20"/>
              </w:rPr>
              <w:t xml:space="preserve">[REQ] Contract staff shall obtain and present to the COR appropriate security clearances (e.g., 
Homeland Security Presidential Directive 12, [HSPD-12])9 and onboarding trainings prior to 
accessing Federal Government information technology (IT) resources. Contract staff who 
require access shall obtain NIEHS security badges, an NIH account, and comply with HHS OCIO 
policy8 for connecting to the NIEHS IT resources. Contract staff shall also complete all annual 
refresher training associated with the use of an NIH account in a timely manner.</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SEC-F6. Factor 6: Past Performance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Selection of an offeror for contract award will be based on an evaluation of proposals against three factors.  
The factors in order of importance are: technical  (non-cost/price Factors 1 through 5), past performance (non-
cost/price Factor 6 [performance confidence assessment]) and cost/price.  Although technical factors are of 
paramount consideration in the award of the contract, past performance [performance confidence assessment] 
and cost/price are also  important to the overall contract award decision.  All evaluation factors other than 
cost/price, when combined are significantly more important than cost/price.  The Government intends to make 
an award to that offeror whose proposal provides the best overall value to the Government.</w:t>
            </w:r>
          </w:p>
          <w:p>
            <w:pPr>
              <w:pStyle w:val="ListParagraph"/>
              <w:numPr>
                <w:ilvl w:val="0"/>
                <w:numId w:val="2"/>
              </w:numPr>
            </w:pPr>
            <w:r>
              <w:rPr>
                <w:i w:val="false"/>
                <w:iCs w:val="false"/>
                <w:color w:val="000000"/>
                <w:sz w:val="20"/>
                <w:szCs w:val="20"/>
              </w:rPr>
              <w:t xml:space="preserve">[REQ] Selection of an offeror for contract award will be based on an evaluation of proposals against 
 three factors.  The factors in order of importance are: technical  (non-cost/price Factors  1 
 through 5), past performance (non-cost/price Factor 6 [performance confidence assessment]) 
 and cost/price.  Although technical factors are of paramount consideration in the award of 
 the contract, past performance [performance confidence assessment] and cost/price are also 
 important to the overall contract award decision.  All evaluation factors other than 
 cost/price, when combined are significantly more important than cost/price.  The Government 
 intends to make an award to that offeror whose proposal provides the best overall value to 
 the Government.</w:t>
            </w:r>
          </w:p>
          <w:p>
            <w:pPr>
              <w:pStyle w:val="ListParagraph"/>
              <w:numPr>
                <w:ilvl w:val="0"/>
                <w:numId w:val="2"/>
              </w:numPr>
            </w:pPr>
            <w:r>
              <w:rPr>
                <w:i w:val="false"/>
                <w:iCs w:val="false"/>
                <w:color w:val="000000"/>
                <w:sz w:val="20"/>
                <w:szCs w:val="20"/>
              </w:rPr>
              <w:t xml:space="preserve">[REQ] SUBARTICLE L.4.B.2. Technical Proposals, Technical Factors, Factor 6 Past Performance</w:t>
            </w:r>
          </w:p>
          <w:p>
            <w:pPr>
              <w:pStyle w:val="ListParagraph"/>
              <w:numPr>
                <w:ilvl w:val="0"/>
                <w:numId w:val="2"/>
              </w:numPr>
            </w:pPr>
            <w:r>
              <w:rPr>
                <w:i w:val="false"/>
                <w:iCs w:val="false"/>
                <w:color w:val="000000"/>
                <w:sz w:val="20"/>
                <w:szCs w:val="20"/>
              </w:rPr>
              <w:t xml:space="preserve">[REQ] The following Point of Contact information is corrected as follows in Sub-Article L.4.B.2. “Technical Factors”, 
Factor 6 Past Performance:  [page 98 of RFP]</w:t>
            </w:r>
          </w:p>
          <w:p>
            <w:pPr>
              <w:pStyle w:val="ListParagraph"/>
              <w:numPr>
                <w:ilvl w:val="0"/>
                <w:numId w:val="2"/>
              </w:numPr>
            </w:pPr>
            <w:r>
              <w:rPr>
                <w:i w:val="false"/>
                <w:iCs w:val="false"/>
                <w:color w:val="000000"/>
                <w:sz w:val="20"/>
                <w:szCs w:val="20"/>
              </w:rPr>
              <w:t xml:space="preserve">[REQ] The third is to establish the overall quality of the offeror’s past performance. Recency is 
generally expressed as a time period during which past performance references are considered relevant, 
and is critical to establishing the relevancy of past performance information.  In establishing what is 
relevant for the acquisition, consideration should be given to those aspects of an offeror’s contract history 
that would give the greatest ability to measure whether the offeror will satisfy the current procurement.  
Common aspects of relevancy include, but are not limited to, the following:  similarity of service/support, 
complexity, dollar value, contract type, use of key personnel (for services) and extent of 
subcontract/teaming. The third aspect of the past performance evaluation is to establish the overall quality 
of the offeror’s past performance (see FAR 15.304[c][2]). The past performance evaluation conducted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  A separate 
quality assessment rating is not required; rather, the past performance rating using the confidence 
assessment rating, is based on the offeror’s overall record of recency, relevancy, and quality of</w:t>
            </w:r>
          </w:p>
          <w:p>
            <w:pPr>
              <w:pStyle w:val="ListParagraph"/>
              <w:numPr>
                <w:ilvl w:val="0"/>
                <w:numId w:val="2"/>
              </w:numPr>
            </w:pPr>
            <w:r>
              <w:rPr>
                <w:i w:val="false"/>
                <w:iCs w:val="false"/>
                <w:color w:val="000000"/>
                <w:sz w:val="20"/>
                <w:szCs w:val="20"/>
              </w:rPr>
              <w:t xml:space="preserve">[REQ] If the client requests, questionnaires may be submitted directly to the 
Government's point of contact, Megan Bang, via email at megan.bang@nih.gov prior 
to proposal closing date. Offerors shall not incorporate by reference into their 
proposal PPQs or CPARS previously submitted for other RFPs. However, this does 
not preclude the Government from utilizing previously submitted PPQ information in 
the past performance evaluation.</w:t>
            </w:r>
          </w:p>
          <w:p>
            <w:pPr>
              <w:pStyle w:val="ListParagraph"/>
              <w:numPr>
                <w:ilvl w:val="0"/>
                <w:numId w:val="2"/>
              </w:numPr>
            </w:pPr>
            <w:r>
              <w:rPr>
                <w:i w:val="false"/>
                <w:iCs w:val="false"/>
                <w:color w:val="000000"/>
                <w:sz w:val="20"/>
                <w:szCs w:val="20"/>
              </w:rPr>
              <w:t xml:space="preserve">[REQ] IF A CPARS EV ALUATION IS NOT A V AILABLE, ensure correct phone numbers and email 
addresses are provided for the client point of contact. Completed PPQs should be submitted with 
your proposal. If the offeror is unable to obtain a completed PPQ from a client for a project(s) 
before proposal closing date, the offeror should complete and submit with the proposal the first 
page of the PPQ (Attachment 9), which will provide contract and client information for the 
respective contract(s). Offerors should follow-up with clients/references to ensure timely submittal 
of questionnaires. If the client requests, questionnaires may be submitted directly to the 
Government's point of contact, Jason Williams [changed from Megan Bang], via email at 
jason.williams2@nih.gov prior to proposal closing date. Offerors shall not incorporate by 
reference into their proposal PPQs or CPARS previously submitted for other RFPs. However, this 
does not preclude the Government from utilizing previously submitted PPQ information in the 
past performance evaluation.</w:t>
            </w:r>
          </w:p>
          <w:p>
            <w:pPr>
              <w:pStyle w:val="ListParagraph"/>
              <w:numPr>
                <w:ilvl w:val="0"/>
                <w:numId w:val="2"/>
              </w:numPr>
            </w:pPr>
            <w:r>
              <w:rPr>
                <w:i w:val="false"/>
                <w:iCs w:val="false"/>
                <w:color w:val="000000"/>
                <w:sz w:val="20"/>
                <w:szCs w:val="20"/>
              </w:rPr>
              <w:t xml:space="preserve">[REQ] Basis of Evaluation: The Government will evaluate how well the offeror performed on 
the recent and relevant contracts submitted under Factor 1 - Experience and on other 
recent and relevant contracts documented in known sources. There are three (3) aspects 
of the past performance evaluation: recency, relevancy, and quality. The first is to 
evaluate the recency of the offeror’s past performance. The second aspect is to determine 
whether the offeror’s performance is relevant or not relevant to the effort to be acquired. 
For purposes of this evaluation, a recent and relevant contract is a contract as defined in 
Factor 1, Corporate Experience. The third aspect of the evaluation is to establish the 
overall quality of the offeror’s past performance and how well the contractor performed 
on the contracts. The past performance evaluation performed in support of a current 
source selection does not establish, create, or change the existing record and history of 
the offeror's past performance on past contracts; rather, the past performance evaluation 
process gathers information from customers on how well the offeror performed those 
past contracts.</w:t>
            </w:r>
          </w:p>
          <w:p>
            <w:pPr>
              <w:pStyle w:val="ListParagraph"/>
              <w:numPr>
                <w:ilvl w:val="0"/>
                <w:numId w:val="2"/>
              </w:numPr>
            </w:pPr>
            <w:r>
              <w:rPr>
                <w:i w:val="false"/>
                <w:iCs w:val="false"/>
                <w:color w:val="000000"/>
                <w:sz w:val="20"/>
                <w:szCs w:val="20"/>
              </w:rPr>
              <w:t xml:space="preserve">[REQ] There are three aspects to the past performance evaluation: recency, relevancy (including context of 
data), and quality (including general trends in contractor performance and source of information).</w:t>
            </w:r>
          </w:p>
          <w:p>
            <w:pPr>
              <w:pStyle w:val="ListParagraph"/>
              <w:numPr>
                <w:ilvl w:val="0"/>
                <w:numId w:val="2"/>
              </w:numPr>
            </w:pPr>
            <w:r>
              <w:rPr>
                <w:i w:val="false"/>
                <w:iCs w:val="false"/>
                <w:color w:val="000000"/>
                <w:sz w:val="20"/>
                <w:szCs w:val="20"/>
              </w:rPr>
              <w:t xml:space="preserve">[REQ] Past Performance Relevancy Rating Method 
Adjectival Rating Description 
Very Relevant Present/past performance effort involved essentially the same scope and 
magnitude of effort and complexities this solicitation requires. 
Relevant Present/past performance effort involved similar scope and magnitude of 
effort and complexities this solicitation requires. 
Somewhat Relevant Present/past performance effort involved some of the scope and magnitude of 
effort and complexities this solicitation requires. 
Not Relevant Present/past performance effort involved little or none of the scope and 
magnitude of effort and complexities this solicitation requires.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1"/>
        <w:pageBreakBefore/>
      </w:pPr>
      <w:r>
        <w:t xml:space="preserve">VOLUME 2: BUSINESS PROPOSAL</w:t>
      </w:r>
    </w:p>
    <w:p>
      <w:pPr>
        <w:spacing w:after="120"/>
      </w:pPr>
      <w:r>
        <w:rPr>
          <w:b/>
          <w:bCs/>
          <w:sz w:val="22"/>
          <w:szCs w:val="22"/>
        </w:rPr>
        <w:t xml:space="preserve">Page Limit: </w:t>
      </w:r>
      <w:r>
        <w:rPr>
          <w:color w:val="C00000"/>
          <w:sz w:val="22"/>
          <w:szCs w:val="22"/>
        </w:rPr>
        <w:t xml:space="preserve">No limit specified</w:t>
      </w:r>
    </w:p>
    <w:p>
      <w:pPr>
        <w:pStyle w:val="Heading2"/>
      </w:pPr>
      <w:r>
        <w:t xml:space="preserve">1. Executive Summary</w:t>
      </w:r>
    </w:p>
    <w:p>
      <w:pPr>
        <w:spacing w:after="120"/>
      </w:pPr>
      <w:r>
        <w:rPr>
          <w:i/>
          <w:iCs/>
          <w:color w:val="404040"/>
          <w:sz w:val="20"/>
          <w:szCs w:val="20"/>
        </w:rPr>
        <w:t xml:space="preserve">High-level overview demonstrating understanding and approach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2. Technical Approach</w:t>
      </w:r>
    </w:p>
    <w:p>
      <w:pPr>
        <w:spacing w:after="120"/>
      </w:pPr>
      <w:r>
        <w:rPr>
          <w:i/>
          <w:iCs/>
          <w:color w:val="404040"/>
          <w:sz w:val="20"/>
          <w:szCs w:val="20"/>
        </w:rPr>
        <w:t xml:space="preserve">Detailed methodology and solution design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3. Management Approach</w:t>
      </w:r>
    </w:p>
    <w:p>
      <w:pPr>
        <w:spacing w:after="120"/>
      </w:pPr>
      <w:r>
        <w:rPr>
          <w:i/>
          <w:iCs/>
          <w:color w:val="404040"/>
          <w:sz w:val="20"/>
          <w:szCs w:val="20"/>
        </w:rPr>
        <w:t xml:space="preserve">Project management, staffing, quality assurance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4. Past Performance</w:t>
      </w:r>
    </w:p>
    <w:p>
      <w:pPr>
        <w:spacing w:after="120"/>
      </w:pPr>
      <w:r>
        <w:rPr>
          <w:i/>
          <w:iCs/>
          <w:color w:val="404040"/>
          <w:sz w:val="20"/>
          <w:szCs w:val="20"/>
        </w:rPr>
        <w:t xml:space="preserve">Relevant experience and references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p>
      <w:pPr>
        <w:pStyle w:val="Heading2"/>
      </w:pPr>
      <w:r>
        <w:t xml:space="preserve">5. Staffing Plan</w:t>
      </w:r>
    </w:p>
    <w:p>
      <w:pPr>
        <w:spacing w:after="120"/>
      </w:pPr>
      <w:r>
        <w:rPr>
          <w:i/>
          <w:iCs/>
          <w:color w:val="404040"/>
          <w:sz w:val="20"/>
          <w:szCs w:val="20"/>
        </w:rPr>
        <w:t xml:space="preserve">Key personnel qualifications and org chart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REQUIREMENTS TO ADDRESS</w:t>
            </w:r>
          </w:p>
          <w:p>
            <w:pPr>
              <w:pStyle w:val="ListParagraph"/>
              <w:numPr>
                <w:ilvl w:val="0"/>
                <w:numId w:val="2"/>
              </w:numPr>
            </w:pPr>
            <w:r>
              <w:rPr>
                <w:i/>
                <w:iCs/>
                <w:color w:val="404040"/>
                <w:sz w:val="20"/>
                <w:szCs w:val="20"/>
              </w:rPr>
              <w:t xml:space="preserve">[Review Section L and add specific requirements for this section]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w:t>
            </w:r>
          </w:p>
          <w:p>
            <w:pPr>
              <w:pStyle w:val="ListParagraph"/>
              <w:numPr>
                <w:ilvl w:val="0"/>
                <w:numId w:val="2"/>
              </w:numPr>
            </w:pPr>
            <w:r>
              <w:rPr>
                <w:i/>
                <w:iCs/>
                <w:color w:val="404040"/>
                <w:sz w:val="20"/>
                <w:szCs w:val="20"/>
              </w:rPr>
              <w:t xml:space="preserve">[Add win themes and discriminators for this section]</w:t>
            </w:r>
          </w:p>
        </w:tc>
      </w:tr>
    </w:tbl>
    <w:p>
      <w:pPr>
        <w:spacing w:after="20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6"/>
        <w:szCs w:val="16"/>
      </w:rPr>
      <w:t xml:space="preserve">[Your Company Name] PROPRIETARY - </w:t>
    </w: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04040"/>
        <w:sz w:val="18"/>
        <w:szCs w:val="18"/>
      </w:rPr>
      <w:t xml:space="preserve">RFP 75N96025R00004 - ANNOTATED OUTLINE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b/>
      <w:bCs/>
      <w:color w:val="000000"/>
      <w:sz w:val="48"/>
      <w:szCs w:val="48"/>
      <w:rFonts w:ascii="Arial" w:cs="Arial" w:eastAsia="Arial" w:hAnsi="Arial"/>
    </w:rPr>
  </w:style>
  <w:style w:type="paragraph" w:styleId="Heading1">
    <w:name w:val="Heading 1"/>
    <w:basedOn w:val="Normal"/>
    <w:next w:val="Normal"/>
    <w:qFormat/>
    <w:pPr>
      <w:spacing w:before="360" w:after="120"/>
      <w:outlineLvl w:val="0"/>
    </w:pPr>
    <w:rPr>
      <w:b/>
      <w:bCs/>
      <w:color w:val="000000"/>
      <w:sz w:val="32"/>
      <w:szCs w:val="32"/>
      <w:rFonts w:ascii="Arial" w:cs="Arial" w:eastAsia="Arial" w:hAnsi="Arial"/>
    </w:rPr>
  </w:style>
  <w:style w:type="paragraph" w:styleId="Heading2">
    <w:name w:val="Heading 2"/>
    <w:basedOn w:val="Normal"/>
    <w:next w:val="Normal"/>
    <w:qFormat/>
    <w:pPr>
      <w:spacing w:before="240" w:after="120"/>
      <w:outlineLvl w:val="1"/>
    </w:pPr>
    <w:rPr>
      <w:b/>
      <w:bCs/>
      <w:color w:val="404040"/>
      <w:sz w:val="26"/>
      <w:szCs w:val="26"/>
      <w:rFonts w:ascii="Arial" w:cs="Arial" w:eastAsia="Arial" w:hAnsi="Arial"/>
    </w:rPr>
  </w:style>
  <w:style w:type="paragraph" w:styleId="Heading3">
    <w:name w:val="Heading 3"/>
    <w:basedOn w:val="Normal"/>
    <w:next w:val="Normal"/>
    <w:qFormat/>
    <w:pPr>
      <w:spacing w:before="200" w:after="100"/>
      <w:outlineLvl w:val="2"/>
    </w:pPr>
    <w:rPr>
      <w:b/>
      <w:bCs/>
      <w:color w:val="404040"/>
      <w:sz w:val="24"/>
      <w:szCs w:val="24"/>
      <w:rFonts w:ascii="Arial" w:cs="Arial" w:eastAsia="Arial" w:hAnsi="Arial"/>
    </w:rPr>
  </w:style>
  <w:style w:type="paragraph" w:styleId="AnnotationLabel">
    <w:name w:val="Annotation Label"/>
    <w:basedOn w:val="Normal"/>
    <w:pPr>
      <w:spacing w:before="60" w:after="40"/>
    </w:pPr>
    <w:rPr>
      <w:b/>
      <w:bCs/>
      <w:sz w:val="18"/>
      <w:szCs w:val="18"/>
      <w:smallCaps/>
      <w:rFonts w:ascii="Arial" w:cs="Arial" w:eastAsia="Arial" w:hAnsi="Arial"/>
    </w:rPr>
  </w:style>
  <w:style w:type="paragraph" w:styleId="RequirementText">
    <w:name w:val="Requirement Text"/>
    <w:basedOn w:val="Normal"/>
    <w:pPr>
      <w:spacing w:before="40" w:after="40"/>
      <w:ind w:left="360"/>
    </w:pPr>
    <w:rPr>
      <w:i/>
      <w:iCs/>
      <w:sz w:val="20"/>
      <w:szCs w:val="20"/>
      <w:rFonts w:ascii="Arial" w:cs="Arial" w:eastAsia="Arial" w:hAnsi="Arial"/>
    </w:rPr>
  </w:style>
  <w:style w:type="paragraph" w:styleId="WriterGuidance">
    <w:name w:val="Writer Guidance"/>
    <w:basedOn w:val="Normal"/>
    <w:pPr>
      <w:spacing w:before="80" w:after="80"/>
      <w:ind w:left="360"/>
    </w:pPr>
    <w:rPr>
      <w:color w:val="404040"/>
      <w:sz w:val="20"/>
      <w:szCs w:val="20"/>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2025-12-02T22:16:49.383Z</dcterms:created>
  <dcterms:modified xsi:type="dcterms:W3CDTF">2025-12-02T22:16:49.392Z</dcterms:modified>
</cp:coreProperties>
</file>

<file path=docProps/custom.xml><?xml version="1.0" encoding="utf-8"?>
<Properties xmlns="http://schemas.openxmlformats.org/officeDocument/2006/custom-properties" xmlns:vt="http://schemas.openxmlformats.org/officeDocument/2006/docPropsVTypes"/>
</file>