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ANNOTATED PROPOSAL OUTLINE</w:t>
      </w:r>
    </w:p>
    <w:p>
      <w:pPr>
        <w:spacing w:before="400" w:after="400"/>
        <w:jc w:val="center"/>
      </w:pPr>
      <w:r>
        <w:rPr>
          <w:b/>
          <w:bCs/>
          <w:color w:val="000000"/>
          <w:sz w:val="36"/>
          <w:szCs w:val="36"/>
        </w:rPr>
        <w:t xml:space="preserve">36C10B26Q0064_1</w:t>
      </w:r>
    </w:p>
    <w:p>
      <w:pPr>
        <w:spacing w:after="200"/>
        <w:jc w:val="center"/>
      </w:pPr>
      <w:r>
        <w:rPr>
          <w:sz w:val="24"/>
          <w:szCs w:val="24"/>
        </w:rPr>
        <w:t xml:space="preserve">Solicitation Number: TBD</w:t>
      </w:r>
    </w:p>
    <w:p>
      <w:pPr>
        <w:spacing w:after="600"/>
        <w:jc w:val="center"/>
      </w:pPr>
      <w:r>
        <w:rPr>
          <w:b/>
          <w:bCs/>
          <w:color w:val="C00000"/>
          <w:sz w:val="24"/>
          <w:szCs w:val="24"/>
        </w:rPr>
        <w:t xml:space="preserve">Proposal Due: TBD</w:t>
      </w:r>
    </w:p>
    <w:p>
      <w:pPr>
        <w:spacing w:before="800"/>
        <w:jc w:val="center"/>
      </w:pPr>
      <w:r>
        <w:rPr>
          <w:sz w:val="22"/>
          <w:szCs w:val="22"/>
        </w:rPr>
        <w:t xml:space="preserve">Prepared by: [Your Company Name]</w:t>
      </w:r>
    </w:p>
    <w:p>
      <w:pPr>
        <w:pBdr>
          <w:top w:val="single" w:color="000000" w:sz="6"/>
        </w:pBdr>
        <w:spacing w:before="1200" w:after="400"/>
        <w:jc w:val="center"/>
      </w:pPr>
      <w:r>
        <w:rPr>
          <w:i/>
          <w:iCs/>
          <w:sz w:val="20"/>
          <w:szCs w:val="20"/>
        </w:rPr>
        <w:t xml:space="preserve">This annotated outline serves as the master template for all proposal content development. </w:t>
      </w:r>
      <w:r>
        <w:rPr>
          <w:i/>
          <w:iCs/>
          <w:sz w:val="20"/>
          <w:szCs w:val="20"/>
        </w:rPr>
        <w:t xml:space="preserve">All writers must address every annotated requirement and follow the page allocations specified.</w:t>
      </w:r>
    </w:p>
    <w:p>
      <w:r>
        <w:br w:type="page"/>
      </w:r>
    </w:p>
    <w:p>
      <w:pPr>
        <w:pStyle w:val="Heading1"/>
      </w:pPr>
      <w:r>
        <w:t xml:space="preserve">SUBMISSION &amp; FORMAT REQUIREMENTS</w:t>
      </w:r>
    </w:p>
    <w:p>
      <w:pPr>
        <w:spacing w:after="200"/>
      </w:pPr>
      <w:r>
        <w:rPr>
          <w:b/>
          <w:bCs/>
          <w:color w:val="C00000"/>
        </w:rPr>
        <w:t xml:space="preserve">CRITICAL: Non-compliance with format requirements may result in proposal disqualification.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000" w:val="clear"/>
          </w:tcPr>
          <w:p>
            <w:r>
              <w:rPr>
                <w:b/>
                <w:bCs/>
                <w:sz w:val="22"/>
                <w:szCs w:val="22"/>
              </w:rPr>
              <w:t xml:space="preserve">Due Date</w:t>
            </w:r>
          </w:p>
        </w:tc>
        <w:tc>
          <w:tcPr>
            <w:tcW w:type="dxa" w:w="6360"/>
            <w:tcBorders>
              <w:top w:val="single" w:color="CCCCCC" w:sz="1"/>
              <w:left w:val="single" w:color="CCCCCC" w:sz="1"/>
              <w:bottom w:val="single" w:color="CCCCCC" w:sz="1"/>
              <w:right w:val="single" w:color="CCCCCC" w:sz="1"/>
            </w:tcBorders>
            <w:shd w:fill="FFC000" w:val="clear"/>
          </w:tcPr>
          <w:p>
            <w:r>
              <w:rPr>
                <w:color w:val="000000"/>
                <w:sz w:val="22"/>
                <w:szCs w:val="22"/>
              </w:rPr>
              <w:t xml:space="preserve">TBD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Submission Method</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Not Specified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Total Page Limit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See individual volumes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Margins</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Line Spacing</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Page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8.5" x 11" (Letter)</w:t>
            </w:r>
          </w:p>
        </w:tc>
      </w:tr>
    </w:tbl>
    <w:p>
      <w:pPr>
        <w:spacing w:after="200"/>
      </w:pPr>
    </w:p>
    <w:p>
      <w:r>
        <w:br w:type="page"/>
      </w:r>
    </w:p>
    <w:p>
      <w:pPr>
        <w:pStyle w:val="Heading2"/>
      </w:pPr>
      <w:r>
        <w:t xml:space="preserve">Annotation Color Code Legend</w:t>
      </w:r>
    </w:p>
    <w:p>
      <w:pPr>
        <w:spacing w:after="120"/>
      </w:pPr>
      <w:r>
        <w:rPr>
          <w:sz w:val="20"/>
          <w:szCs w:val="20"/>
        </w:rPr>
        <w:t xml:space="preserve">Requirements are color-coded by source to help writers understand what the customer is asking for (Section C), how to submit it (Section L), and how it will be scored (Section 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D5D5" w:val="clear"/>
          </w:tcPr>
          <w:p>
            <w:r>
              <w:rPr>
                <w:b/>
                <w:bCs/>
                <w:sz w:val="20"/>
                <w:szCs w:val="20"/>
              </w:rPr>
              <w:t xml:space="preserve">Color</w:t>
            </w:r>
          </w:p>
        </w:tc>
        <w:tc>
          <w:tcPr>
            <w:tcW w:type="dxa" w:w="3000"/>
            <w:tcBorders>
              <w:top w:val="single" w:color="CCCCCC" w:sz="1"/>
              <w:left w:val="single" w:color="CCCCCC" w:sz="1"/>
              <w:bottom w:val="single" w:color="CCCCCC" w:sz="1"/>
              <w:right w:val="single" w:color="CCCCCC" w:sz="1"/>
            </w:tcBorders>
            <w:shd w:fill="D5D5D5" w:val="clear"/>
          </w:tcPr>
          <w:p>
            <w:r>
              <w:rPr>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D5D5D5" w:val="clear"/>
          </w:tcPr>
          <w:p>
            <w:r>
              <w:rPr>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Pr>
          <w:p>
            <w:r>
              <w:rPr>
                <w:b/>
                <w:bCs/>
                <w:color w:val="C00000"/>
                <w:sz w:val="20"/>
                <w:szCs w:val="20"/>
              </w:rPr>
              <w:t xml:space="preserve">RED</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L (Instructions)</w:t>
            </w:r>
          </w:p>
        </w:tc>
        <w:tc>
          <w:tcPr>
            <w:tcW w:type="dxa" w:w="4560"/>
            <w:tcBorders>
              <w:top w:val="single" w:color="CCCCCC" w:sz="1"/>
              <w:left w:val="single" w:color="CCCCCC" w:sz="1"/>
              <w:bottom w:val="single" w:color="CCCCCC" w:sz="1"/>
              <w:right w:val="single" w:color="CCCCCC" w:sz="1"/>
            </w:tcBorders>
          </w:tcPr>
          <w:p>
            <w:r>
              <w:rPr>
                <w:sz w:val="20"/>
                <w:szCs w:val="20"/>
              </w:rPr>
              <w:t xml:space="preserve">How to submit - format, content, page limits</w:t>
            </w:r>
          </w:p>
        </w:tc>
      </w:tr>
      <w:tr>
        <w:tc>
          <w:tcPr>
            <w:tcW w:type="dxa" w:w="1800"/>
            <w:tcBorders>
              <w:top w:val="single" w:color="CCCCCC" w:sz="1"/>
              <w:left w:val="single" w:color="CCCCCC" w:sz="1"/>
              <w:bottom w:val="single" w:color="CCCCCC" w:sz="1"/>
              <w:right w:val="single" w:color="CCCCCC" w:sz="1"/>
            </w:tcBorders>
          </w:tcPr>
          <w:p>
            <w:r>
              <w:rPr>
                <w:b/>
                <w:bCs/>
                <w:color w:val="0070C0"/>
                <w:sz w:val="20"/>
                <w:szCs w:val="20"/>
              </w:rPr>
              <w:t xml:space="preserve">BLUE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M (Evaluation)</w:t>
            </w:r>
          </w:p>
        </w:tc>
        <w:tc>
          <w:tcPr>
            <w:tcW w:type="dxa" w:w="4560"/>
            <w:tcBorders>
              <w:top w:val="single" w:color="CCCCCC" w:sz="1"/>
              <w:left w:val="single" w:color="CCCCCC" w:sz="1"/>
              <w:bottom w:val="single" w:color="CCCCCC" w:sz="1"/>
              <w:right w:val="single" w:color="CCCCCC" w:sz="1"/>
            </w:tcBorders>
          </w:tcPr>
          <w:p>
            <w:r>
              <w:rPr>
                <w:sz w:val="20"/>
                <w:szCs w:val="20"/>
              </w:rPr>
              <w:t xml:space="preserve">How proposal will be scored - criteria, weights</w:t>
            </w:r>
          </w:p>
        </w:tc>
      </w:tr>
      <w:tr>
        <w:tc>
          <w:tcPr>
            <w:tcW w:type="dxa" w:w="1800"/>
            <w:tcBorders>
              <w:top w:val="single" w:color="CCCCCC" w:sz="1"/>
              <w:left w:val="single" w:color="CCCCCC" w:sz="1"/>
              <w:bottom w:val="single" w:color="CCCCCC" w:sz="1"/>
              <w:right w:val="single" w:color="CCCCCC" w:sz="1"/>
            </w:tcBorders>
          </w:tcPr>
          <w:p>
            <w:r>
              <w:rPr>
                <w:b/>
                <w:bCs/>
                <w:color w:val="7030A0"/>
                <w:sz w:val="20"/>
                <w:szCs w:val="20"/>
              </w:rPr>
              <w:t xml:space="preserve">PURPLE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C/PWS/SOW</w:t>
            </w:r>
          </w:p>
        </w:tc>
        <w:tc>
          <w:tcPr>
            <w:tcW w:type="dxa" w:w="4560"/>
            <w:tcBorders>
              <w:top w:val="single" w:color="CCCCCC" w:sz="1"/>
              <w:left w:val="single" w:color="CCCCCC" w:sz="1"/>
              <w:bottom w:val="single" w:color="CCCCCC" w:sz="1"/>
              <w:right w:val="single" w:color="CCCCCC" w:sz="1"/>
            </w:tcBorders>
          </w:tcPr>
          <w:p>
            <w:r>
              <w:rPr>
                <w:sz w:val="20"/>
                <w:szCs w:val="20"/>
              </w:rPr>
              <w:t xml:space="preserve">What to do - technical requirements, scope</w:t>
            </w:r>
          </w:p>
        </w:tc>
      </w:tr>
      <w:tr>
        <w:tc>
          <w:tcPr>
            <w:tcW w:type="dxa" w:w="1800"/>
            <w:tcBorders>
              <w:top w:val="single" w:color="CCCCCC" w:sz="1"/>
              <w:left w:val="single" w:color="CCCCCC" w:sz="1"/>
              <w:bottom w:val="single" w:color="CCCCCC" w:sz="1"/>
              <w:right w:val="single" w:color="CCCCCC" w:sz="1"/>
            </w:tcBorders>
          </w:tcPr>
          <w:p>
            <w:r>
              <w:rPr>
                <w:b/>
                <w:bCs/>
                <w:color w:val="00B050"/>
                <w:sz w:val="20"/>
                <w:szCs w:val="20"/>
              </w:rPr>
              <w:t xml:space="preserve">GREEN</w:t>
            </w:r>
          </w:p>
        </w:tc>
        <w:tc>
          <w:tcPr>
            <w:tcW w:type="dxa" w:w="3000"/>
            <w:tcBorders>
              <w:top w:val="single" w:color="CCCCCC" w:sz="1"/>
              <w:left w:val="single" w:color="CCCCCC" w:sz="1"/>
              <w:bottom w:val="single" w:color="CCCCCC" w:sz="1"/>
              <w:right w:val="single" w:color="CCCCCC" w:sz="1"/>
            </w:tcBorders>
          </w:tcPr>
          <w:p>
            <w:r>
              <w:rPr>
                <w:sz w:val="20"/>
                <w:szCs w:val="20"/>
              </w:rPr>
              <w:t xml:space="preserve">Win Themes</w:t>
            </w:r>
          </w:p>
        </w:tc>
        <w:tc>
          <w:tcPr>
            <w:tcW w:type="dxa" w:w="4560"/>
            <w:tcBorders>
              <w:top w:val="single" w:color="CCCCCC" w:sz="1"/>
              <w:left w:val="single" w:color="CCCCCC" w:sz="1"/>
              <w:bottom w:val="single" w:color="CCCCCC" w:sz="1"/>
              <w:right w:val="single" w:color="CCCCCC" w:sz="1"/>
            </w:tcBorders>
          </w:tcPr>
          <w:p>
            <w:r>
              <w:rPr>
                <w:sz w:val="20"/>
                <w:szCs w:val="20"/>
              </w:rPr>
              <w:t xml:space="preserve">Discriminators and key messages to emphasize</w:t>
            </w:r>
          </w:p>
        </w:tc>
      </w:tr>
      <w:tr>
        <w:tc>
          <w:tcPr>
            <w:tcW w:type="dxa" w:w="1800"/>
            <w:tcBorders>
              <w:top w:val="single" w:color="CCCCCC" w:sz="1"/>
              <w:left w:val="single" w:color="CCCCCC" w:sz="1"/>
              <w:bottom w:val="single" w:color="CCCCCC" w:sz="1"/>
              <w:right w:val="single" w:color="CCCCCC" w:sz="1"/>
            </w:tcBorders>
          </w:tcPr>
          <w:p>
            <w:r>
              <w:rPr>
                <w:b/>
                <w:bCs/>
                <w:color w:val="ED7D31"/>
                <w:sz w:val="20"/>
                <w:szCs w:val="20"/>
              </w:rPr>
              <w:t xml:space="preserve">ORANGE</w:t>
            </w:r>
          </w:p>
        </w:tc>
        <w:tc>
          <w:tcPr>
            <w:tcW w:type="dxa" w:w="3000"/>
            <w:tcBorders>
              <w:top w:val="single" w:color="CCCCCC" w:sz="1"/>
              <w:left w:val="single" w:color="CCCCCC" w:sz="1"/>
              <w:bottom w:val="single" w:color="CCCCCC" w:sz="1"/>
              <w:right w:val="single" w:color="CCCCCC" w:sz="1"/>
            </w:tcBorders>
          </w:tcPr>
          <w:p>
            <w:r>
              <w:rPr>
                <w:sz w:val="20"/>
                <w:szCs w:val="20"/>
              </w:rPr>
              <w:t xml:space="preserve">Proof Points</w:t>
            </w:r>
          </w:p>
        </w:tc>
        <w:tc>
          <w:tcPr>
            <w:tcW w:type="dxa" w:w="4560"/>
            <w:tcBorders>
              <w:top w:val="single" w:color="CCCCCC" w:sz="1"/>
              <w:left w:val="single" w:color="CCCCCC" w:sz="1"/>
              <w:bottom w:val="single" w:color="CCCCCC" w:sz="1"/>
              <w:right w:val="single" w:color="CCCCCC" w:sz="1"/>
            </w:tcBorders>
          </w:tcPr>
          <w:p>
            <w:r>
              <w:rPr>
                <w:sz w:val="20"/>
                <w:szCs w:val="20"/>
              </w:rPr>
              <w:t xml:space="preserve">Evidence needed - past performance, metrics, certs</w:t>
            </w:r>
          </w:p>
        </w:tc>
      </w:tr>
      <w:tr>
        <w:tc>
          <w:tcPr>
            <w:tcW w:type="dxa" w:w="1800"/>
            <w:tcBorders>
              <w:top w:val="single" w:color="CCCCCC" w:sz="1"/>
              <w:left w:val="single" w:color="CCCCCC" w:sz="1"/>
              <w:bottom w:val="single" w:color="CCCCCC" w:sz="1"/>
              <w:right w:val="single" w:color="CCCCCC" w:sz="1"/>
            </w:tcBorders>
          </w:tcPr>
          <w:p>
            <w:r>
              <w:rPr>
                <w:b/>
                <w:bCs/>
                <w:color w:val="5B9BD5"/>
                <w:sz w:val="20"/>
                <w:szCs w:val="20"/>
              </w:rPr>
              <w:t xml:space="preserve">BLUE-GRAY</w:t>
            </w:r>
          </w:p>
        </w:tc>
        <w:tc>
          <w:tcPr>
            <w:tcW w:type="dxa" w:w="3000"/>
            <w:tcBorders>
              <w:top w:val="single" w:color="CCCCCC" w:sz="1"/>
              <w:left w:val="single" w:color="CCCCCC" w:sz="1"/>
              <w:bottom w:val="single" w:color="CCCCCC" w:sz="1"/>
              <w:right w:val="single" w:color="CCCCCC" w:sz="1"/>
            </w:tcBorders>
          </w:tcPr>
          <w:p>
            <w:r>
              <w:rPr>
                <w:sz w:val="20"/>
                <w:szCs w:val="20"/>
              </w:rPr>
              <w:t xml:space="preserve">Graphics</w:t>
            </w:r>
          </w:p>
        </w:tc>
        <w:tc>
          <w:tcPr>
            <w:tcW w:type="dxa" w:w="4560"/>
            <w:tcBorders>
              <w:top w:val="single" w:color="CCCCCC" w:sz="1"/>
              <w:left w:val="single" w:color="CCCCCC" w:sz="1"/>
              <w:bottom w:val="single" w:color="CCCCCC" w:sz="1"/>
              <w:right w:val="single" w:color="CCCCCC" w:sz="1"/>
            </w:tcBorders>
          </w:tcPr>
          <w:p>
            <w:r>
              <w:rPr>
                <w:sz w:val="20"/>
                <w:szCs w:val="20"/>
              </w:rPr>
              <w:t xml:space="preserve">Planned visuals with action captions</w:t>
            </w:r>
          </w:p>
        </w:tc>
      </w:tr>
    </w:tbl>
    <w:p>
      <w:pPr>
        <w:spacing w:after="300"/>
      </w:pPr>
    </w:p>
    <w:p>
      <w:pPr>
        <w:pStyle w:val="Heading1"/>
      </w:pPr>
      <w:r>
        <w:t xml:space="preserve">EVALUATION FACTORS SUMMARY</w:t>
      </w:r>
    </w:p>
    <w:p>
      <w:pPr>
        <w:spacing w:after="200"/>
      </w:pPr>
      <w:r>
        <w:rPr>
          <w:color w:val="0070C0"/>
          <w:sz w:val="20"/>
          <w:szCs w:val="20"/>
        </w:rPr>
        <w:t xml:space="preserve">Understanding how the proposal will be scored is critical. Structure content to directly address each evaluation factor.</w:t>
      </w:r>
    </w:p>
    <w:p>
      <w:r>
        <w:rPr>
          <w:b/>
          <w:bCs/>
          <w:color w:val="C00000"/>
          <w:sz w:val="22"/>
          <w:szCs w:val="22"/>
        </w:rPr>
        <w:t xml:space="preserve">⚠ No evaluation factors extracted. Review Section M of the RFP manually.</w:t>
      </w:r>
    </w:p>
    <w:p>
      <w:r>
        <w:br w:type="page"/>
      </w:r>
    </w:p>
    <w:p>
      <w:pPr>
        <w:pStyle w:val="Heading1"/>
      </w:pPr>
      <w:r>
        <w:t xml:space="preserve">VOLUME 1: TECHNICAL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SEC-TECH-1. Technical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[REQ] The Contractor shall provide a Configuration Plan which shall support operational visibility, facilitate risk management, and work to ensure that the ROISVIE solution remains aligned with VA’s evolving federal cybersecurity frameworks, including but not limited to NIST 800-53, FedRAMP, and the Center for Internet Security (CIS) benchmarks and infrastructure ecosystem, including the addition or rem...</w:t>
            </w:r>
          </w:p>
          <w:p>
            <w:pPr>
              <w:pStyle w:val="ListParagraph"/>
              <w:numPr>
                <w:ilvl w:val="0"/>
                <w:numId w:val="2"/>
              </w:numPr>
            </w:pPr>
            <w:r>
              <w:rPr>
                <w:i w:val="false"/>
                <w:iCs w:val="false"/>
                <w:color w:val="000000"/>
                <w:sz w:val="20"/>
                <w:szCs w:val="20"/>
              </w:rPr>
              <w:t xml:space="preserve">[REQ] The Contractor shall provide software updates to installed system functionality at no additional cost to the Government.</w:t>
            </w:r>
          </w:p>
          <w:p>
            <w:pPr>
              <w:pStyle w:val="ListParagraph"/>
              <w:numPr>
                <w:ilvl w:val="0"/>
                <w:numId w:val="2"/>
              </w:numPr>
            </w:pPr>
            <w:r>
              <w:rPr>
                <w:i w:val="false"/>
                <w:iCs w:val="false"/>
                <w:color w:val="000000"/>
                <w:sz w:val="20"/>
                <w:szCs w:val="20"/>
              </w:rPr>
              <w:t xml:space="preserve">[REQ] The Contractor shall ensure that all Contractor delivered applications and systems integrate with the VA Master Person Index (MPI) for identity traits to include the use of the ICN as the Primary Identifier. The Contractor solution may only use a Social Security Number to identify an individual in an information system if and only if the use of such number is required to obtain information VA requ...</w:t>
            </w:r>
          </w:p>
          <w:p>
            <w:pPr>
              <w:pStyle w:val="ListParagraph"/>
              <w:numPr>
                <w:ilvl w:val="0"/>
                <w:numId w:val="2"/>
              </w:numPr>
            </w:pPr>
            <w:r>
              <w:rPr>
                <w:i w:val="false"/>
                <w:iCs w:val="false"/>
                <w:color w:val="000000"/>
                <w:sz w:val="20"/>
                <w:szCs w:val="20"/>
              </w:rPr>
              <w:t xml:space="preserve">[REQ] 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pPr>
              <w:pStyle w:val="ListParagraph"/>
              <w:numPr>
                <w:ilvl w:val="0"/>
                <w:numId w:val="2"/>
              </w:numPr>
            </w:pPr>
            <w:r>
              <w:rPr>
                <w:i w:val="false"/>
                <w:iCs w:val="false"/>
                <w:color w:val="000000"/>
                <w:sz w:val="20"/>
                <w:szCs w:val="20"/>
              </w:rPr>
              <w:t xml:space="preserve">[REQ] The Contractor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implementation, configuration, and change management services that are consistent with VA’s standard implementation and deployment methodology and configure to meet all VA’s requirements as stipulated in this PD.</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w:t>
            </w:r>
          </w:p>
          <w:p>
            <w:pPr>
              <w:pStyle w:val="ListParagraph"/>
              <w:numPr>
                <w:ilvl w:val="0"/>
                <w:numId w:val="2"/>
              </w:numPr>
            </w:pPr>
            <w:r>
              <w:rPr>
                <w:i w:val="false"/>
                <w:iCs w:val="false"/>
                <w:color w:val="000000"/>
                <w:sz w:val="20"/>
                <w:szCs w:val="20"/>
              </w:rPr>
              <w:t xml:space="preserve">[REQ] 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pPr>
              <w:pStyle w:val="ListParagraph"/>
              <w:numPr>
                <w:ilvl w:val="0"/>
                <w:numId w:val="2"/>
              </w:numPr>
            </w:pPr>
            <w:r>
              <w:rPr>
                <w:i w:val="false"/>
                <w:iCs w:val="false"/>
                <w:color w:val="000000"/>
                <w:sz w:val="20"/>
                <w:szCs w:val="20"/>
              </w:rPr>
              <w:t xml:space="preserve">[REQ]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w:t>
            </w:r>
          </w:p>
          <w:p>
            <w:pPr>
              <w:pStyle w:val="ListParagraph"/>
              <w:numPr>
                <w:ilvl w:val="0"/>
                <w:numId w:val="2"/>
              </w:numPr>
            </w:pPr>
            <w:r>
              <w:rPr>
                <w:i w:val="false"/>
                <w:iCs w:val="false"/>
                <w:color w:val="000000"/>
                <w:sz w:val="20"/>
                <w:szCs w:val="20"/>
              </w:rPr>
              <w:t xml:space="preserve">[REQ] The contractor shall maintain and actively develop a variety of tools that are designed to help VA efficiently navigate, access, and analyze, archiving patient data.</w:t>
            </w:r>
          </w:p>
          <w:p>
            <w:pPr>
              <w:pStyle w:val="ListParagraph"/>
              <w:numPr>
                <w:ilvl w:val="0"/>
                <w:numId w:val="2"/>
              </w:numPr>
            </w:pPr>
            <w:r>
              <w:rPr>
                <w:i w:val="false"/>
                <w:iCs w:val="false"/>
                <w:color w:val="000000"/>
                <w:sz w:val="20"/>
                <w:szCs w:val="20"/>
              </w:rPr>
              <w:t xml:space="preserve">[REQ] The Contractor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Contractor may configure to comply with that STIG.</w:t>
            </w:r>
          </w:p>
          <w:p>
            <w:pPr>
              <w:pStyle w:val="ListParagraph"/>
              <w:numPr>
                <w:ilvl w:val="0"/>
                <w:numId w:val="2"/>
              </w:numPr>
            </w:pPr>
            <w:r>
              <w:rPr>
                <w:i w:val="false"/>
                <w:iCs w:val="false"/>
                <w:color w:val="000000"/>
                <w:sz w:val="20"/>
                <w:szCs w:val="20"/>
              </w:rPr>
              <w:t xml:space="preserve">[REQ] rmation system or systems by or on behalf of VA. This includes conducting compliance risk assessments, security architecture analysis, routine vulnerability scanning, system patching, change management procedures and the completion of an acceptable contingency plan for each system. The Contractor’s security control procedures shall be the same as procedures used to secure VA-operated information systems.</w:t>
            </w:r>
          </w:p>
          <w:p>
            <w:pPr>
              <w:pStyle w:val="ListParagraph"/>
              <w:numPr>
                <w:ilvl w:val="0"/>
                <w:numId w:val="2"/>
              </w:numPr>
            </w:pPr>
            <w:r>
              <w:rPr>
                <w:i w:val="false"/>
                <w:iCs w:val="false"/>
                <w:color w:val="000000"/>
                <w:sz w:val="20"/>
                <w:szCs w:val="20"/>
              </w:rPr>
              <w:t xml:space="preserve">[REQ] The Contractor shall provide sustainment support of new radiation oncology information systems virtual infrastructure environment (ROISVIE) to include hardware and software upgrade through the contract POP.</w:t>
            </w:r>
          </w:p>
          <w:p>
            <w:pPr>
              <w:pStyle w:val="ListParagraph"/>
              <w:numPr>
                <w:ilvl w:val="0"/>
                <w:numId w:val="2"/>
              </w:numPr>
            </w:pPr>
            <w:r>
              <w:rPr>
                <w:i w:val="false"/>
                <w:iCs w:val="false"/>
                <w:color w:val="000000"/>
                <w:sz w:val="20"/>
                <w:szCs w:val="20"/>
              </w:rPr>
              <w:t xml:space="preserve">[REQ] The Contractor shall provide an Implementation Plan which shall include all requirements necessary to provide and maintain a fully operational Radiation Oncology system to support project management and include installation support through policy development, planning, testing, implementation, installation, training, at an Enterprise level.</w:t>
            </w:r>
          </w:p>
          <w:p>
            <w:pPr>
              <w:pStyle w:val="ListParagraph"/>
              <w:numPr>
                <w:ilvl w:val="0"/>
                <w:numId w:val="2"/>
              </w:numPr>
            </w:pPr>
            <w:r>
              <w:rPr>
                <w:i w:val="false"/>
                <w:iCs w:val="false"/>
                <w:color w:val="000000"/>
                <w:sz w:val="20"/>
                <w:szCs w:val="20"/>
              </w:rPr>
              <w:t xml:space="preserve">[REQ] The network diagram shall consist of the core components and interfaces for network data workflow that is included in the design of the infrastructure topology as part of a section within the configuration plan.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SEC-TECH-2. Methodology and Solution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[REQ] The Contractor shall provide a Configuration Plan which shall support operational visibility, facilitate risk management, and work to ensure that the ROISVIE solution remains aligned with VA’s evolving federal cybersecurity frameworks, including but not limited to NIST 800-53, FedRAMP, and the Center for Internet Security (CIS) benchmarks and infrastructure ecosystem, including the addition or rem...</w:t>
            </w:r>
          </w:p>
          <w:p>
            <w:pPr>
              <w:pStyle w:val="ListParagraph"/>
              <w:numPr>
                <w:ilvl w:val="0"/>
                <w:numId w:val="2"/>
              </w:numPr>
            </w:pPr>
            <w:r>
              <w:rPr>
                <w:i w:val="false"/>
                <w:iCs w:val="false"/>
                <w:color w:val="000000"/>
                <w:sz w:val="20"/>
                <w:szCs w:val="20"/>
              </w:rPr>
              <w:t xml:space="preserve">[REQ] The Contractor shall provide software updates to installed system functionality at no additional cost to the Government.</w:t>
            </w:r>
          </w:p>
          <w:p>
            <w:pPr>
              <w:pStyle w:val="ListParagraph"/>
              <w:numPr>
                <w:ilvl w:val="0"/>
                <w:numId w:val="2"/>
              </w:numPr>
            </w:pPr>
            <w:r>
              <w:rPr>
                <w:i w:val="false"/>
                <w:iCs w:val="false"/>
                <w:color w:val="000000"/>
                <w:sz w:val="20"/>
                <w:szCs w:val="20"/>
              </w:rPr>
              <w:t xml:space="preserve">[REQ] The Contractor shall ensure that all Contractor delivered applications and systems integrate with the VA Master Person Index (MPI) for identity traits to include the use of the ICN as the Primary Identifier. The Contractor solution may only use a Social Security Number to identify an individual in an information system if and only if the use of such number is required to obtain information VA requ...</w:t>
            </w:r>
          </w:p>
          <w:p>
            <w:pPr>
              <w:pStyle w:val="ListParagraph"/>
              <w:numPr>
                <w:ilvl w:val="0"/>
                <w:numId w:val="2"/>
              </w:numPr>
            </w:pPr>
            <w:r>
              <w:rPr>
                <w:i w:val="false"/>
                <w:iCs w:val="false"/>
                <w:color w:val="000000"/>
                <w:sz w:val="20"/>
                <w:szCs w:val="20"/>
              </w:rPr>
              <w:t xml:space="preserve">[REQ] 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pPr>
              <w:pStyle w:val="ListParagraph"/>
              <w:numPr>
                <w:ilvl w:val="0"/>
                <w:numId w:val="2"/>
              </w:numPr>
            </w:pPr>
            <w:r>
              <w:rPr>
                <w:i w:val="false"/>
                <w:iCs w:val="false"/>
                <w:color w:val="000000"/>
                <w:sz w:val="20"/>
                <w:szCs w:val="20"/>
              </w:rPr>
              <w:t xml:space="preserve">[REQ] The Contractor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implementation, configuration, and change management services that are consistent with VA’s standard implementation and deployment methodology and configure to meet all VA’s requirements as stipulated in this PD.</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w:t>
            </w:r>
          </w:p>
          <w:p>
            <w:pPr>
              <w:pStyle w:val="ListParagraph"/>
              <w:numPr>
                <w:ilvl w:val="0"/>
                <w:numId w:val="2"/>
              </w:numPr>
            </w:pPr>
            <w:r>
              <w:rPr>
                <w:i w:val="false"/>
                <w:iCs w:val="false"/>
                <w:color w:val="000000"/>
                <w:sz w:val="20"/>
                <w:szCs w:val="20"/>
              </w:rPr>
              <w:t xml:space="preserve">[REQ] 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pPr>
              <w:pStyle w:val="ListParagraph"/>
              <w:numPr>
                <w:ilvl w:val="0"/>
                <w:numId w:val="2"/>
              </w:numPr>
            </w:pPr>
            <w:r>
              <w:rPr>
                <w:i w:val="false"/>
                <w:iCs w:val="false"/>
                <w:color w:val="000000"/>
                <w:sz w:val="20"/>
                <w:szCs w:val="20"/>
              </w:rPr>
              <w:t xml:space="preserve">[REQ]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w:t>
            </w:r>
          </w:p>
          <w:p>
            <w:pPr>
              <w:pStyle w:val="ListParagraph"/>
              <w:numPr>
                <w:ilvl w:val="0"/>
                <w:numId w:val="2"/>
              </w:numPr>
            </w:pPr>
            <w:r>
              <w:rPr>
                <w:i w:val="false"/>
                <w:iCs w:val="false"/>
                <w:color w:val="000000"/>
                <w:sz w:val="20"/>
                <w:szCs w:val="20"/>
              </w:rPr>
              <w:t xml:space="preserve">[REQ] The contractor shall maintain and actively develop a variety of tools that are designed to help VA efficiently navigate, access, and analyze, archiving patient data.</w:t>
            </w:r>
          </w:p>
          <w:p>
            <w:pPr>
              <w:pStyle w:val="ListParagraph"/>
              <w:numPr>
                <w:ilvl w:val="0"/>
                <w:numId w:val="2"/>
              </w:numPr>
            </w:pPr>
            <w:r>
              <w:rPr>
                <w:i w:val="false"/>
                <w:iCs w:val="false"/>
                <w:color w:val="000000"/>
                <w:sz w:val="20"/>
                <w:szCs w:val="20"/>
              </w:rPr>
              <w:t xml:space="preserve">[REQ] The Contractor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Contractor may configure to comply with that STIG.</w:t>
            </w:r>
          </w:p>
          <w:p>
            <w:pPr>
              <w:pStyle w:val="ListParagraph"/>
              <w:numPr>
                <w:ilvl w:val="0"/>
                <w:numId w:val="2"/>
              </w:numPr>
            </w:pPr>
            <w:r>
              <w:rPr>
                <w:i w:val="false"/>
                <w:iCs w:val="false"/>
                <w:color w:val="000000"/>
                <w:sz w:val="20"/>
                <w:szCs w:val="20"/>
              </w:rPr>
              <w:t xml:space="preserve">[REQ] rmation system or systems by or on behalf of VA. This includes conducting compliance risk assessments, security architecture analysis, routine vulnerability scanning, system patching, change management procedures and the completion of an acceptable contingency plan for each system. The Contractor’s security control procedures shall be the same as procedures used to secure VA-operated information systems.</w:t>
            </w:r>
          </w:p>
          <w:p>
            <w:pPr>
              <w:pStyle w:val="ListParagraph"/>
              <w:numPr>
                <w:ilvl w:val="0"/>
                <w:numId w:val="2"/>
              </w:numPr>
            </w:pPr>
            <w:r>
              <w:rPr>
                <w:i w:val="false"/>
                <w:iCs w:val="false"/>
                <w:color w:val="000000"/>
                <w:sz w:val="20"/>
                <w:szCs w:val="20"/>
              </w:rPr>
              <w:t xml:space="preserve">[REQ] The Contractor shall provide sustainment support of new radiation oncology information systems virtual infrastructure environment (ROISVIE) to include hardware and software upgrade through the contract POP.</w:t>
            </w:r>
          </w:p>
          <w:p>
            <w:pPr>
              <w:pStyle w:val="ListParagraph"/>
              <w:numPr>
                <w:ilvl w:val="0"/>
                <w:numId w:val="2"/>
              </w:numPr>
            </w:pPr>
            <w:r>
              <w:rPr>
                <w:i w:val="false"/>
                <w:iCs w:val="false"/>
                <w:color w:val="000000"/>
                <w:sz w:val="20"/>
                <w:szCs w:val="20"/>
              </w:rPr>
              <w:t xml:space="preserve">[REQ] The Contractor shall provide an Implementation Plan which shall include all requirements necessary to provide and maintain a fully operational Radiation Oncology system to support project management and include installation support through policy development, planning, testing, implementation, installation, training, at an Enterprise level.</w:t>
            </w:r>
          </w:p>
          <w:p>
            <w:pPr>
              <w:pStyle w:val="ListParagraph"/>
              <w:numPr>
                <w:ilvl w:val="0"/>
                <w:numId w:val="2"/>
              </w:numPr>
            </w:pPr>
            <w:r>
              <w:rPr>
                <w:i w:val="false"/>
                <w:iCs w:val="false"/>
                <w:color w:val="000000"/>
                <w:sz w:val="20"/>
                <w:szCs w:val="20"/>
              </w:rPr>
              <w:t xml:space="preserve">[REQ] The network diagram shall consist of the core components and interfaces for network data workflow that is included in the design of the infrastructure topology as part of a section within the configuration plan.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SEC-TECH-3. Innovation and Technical Excellence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[REQ] The Contractor shall provide a Configuration Plan which shall support operational visibility, facilitate risk management, and work to ensure that the ROISVIE solution remains aligned with VA’s evolving federal cybersecurity frameworks, including but not limited to NIST 800-53, FedRAMP, and the Center for Internet Security (CIS) benchmarks and infrastructure ecosystem, including the addition or rem...</w:t>
            </w:r>
          </w:p>
          <w:p>
            <w:pPr>
              <w:pStyle w:val="ListParagraph"/>
              <w:numPr>
                <w:ilvl w:val="0"/>
                <w:numId w:val="2"/>
              </w:numPr>
            </w:pPr>
            <w:r>
              <w:rPr>
                <w:i w:val="false"/>
                <w:iCs w:val="false"/>
                <w:color w:val="000000"/>
                <w:sz w:val="20"/>
                <w:szCs w:val="20"/>
              </w:rPr>
              <w:t xml:space="preserve">[REQ] The Contractor shall provide software updates to installed system functionality at no additional cost to the Government.</w:t>
            </w:r>
          </w:p>
          <w:p>
            <w:pPr>
              <w:pStyle w:val="ListParagraph"/>
              <w:numPr>
                <w:ilvl w:val="0"/>
                <w:numId w:val="2"/>
              </w:numPr>
            </w:pPr>
            <w:r>
              <w:rPr>
                <w:i w:val="false"/>
                <w:iCs w:val="false"/>
                <w:color w:val="000000"/>
                <w:sz w:val="20"/>
                <w:szCs w:val="20"/>
              </w:rPr>
              <w:t xml:space="preserve">[REQ] The Contractor shall ensure that all Contractor delivered applications and systems integrate with the VA Master Person Index (MPI) for identity traits to include the use of the ICN as the Primary Identifier. The Contractor solution may only use a Social Security Number to identify an individual in an information system if and only if the use of such number is required to obtain information VA requ...</w:t>
            </w:r>
          </w:p>
          <w:p>
            <w:pPr>
              <w:pStyle w:val="ListParagraph"/>
              <w:numPr>
                <w:ilvl w:val="0"/>
                <w:numId w:val="2"/>
              </w:numPr>
            </w:pPr>
            <w:r>
              <w:rPr>
                <w:i w:val="false"/>
                <w:iCs w:val="false"/>
                <w:color w:val="000000"/>
                <w:sz w:val="20"/>
                <w:szCs w:val="20"/>
              </w:rPr>
              <w:t xml:space="preserve">[REQ] 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pPr>
              <w:pStyle w:val="ListParagraph"/>
              <w:numPr>
                <w:ilvl w:val="0"/>
                <w:numId w:val="2"/>
              </w:numPr>
            </w:pPr>
            <w:r>
              <w:rPr>
                <w:i w:val="false"/>
                <w:iCs w:val="false"/>
                <w:color w:val="000000"/>
                <w:sz w:val="20"/>
                <w:szCs w:val="20"/>
              </w:rPr>
              <w:t xml:space="preserve">[REQ] The Contractor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implementation, configuration, and change management services that are consistent with VA’s standard implementation and deployment methodology and configure to meet all VA’s requirements as stipulated in this PD.</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w:t>
            </w:r>
          </w:p>
          <w:p>
            <w:pPr>
              <w:pStyle w:val="ListParagraph"/>
              <w:numPr>
                <w:ilvl w:val="0"/>
                <w:numId w:val="2"/>
              </w:numPr>
            </w:pPr>
            <w:r>
              <w:rPr>
                <w:i w:val="false"/>
                <w:iCs w:val="false"/>
                <w:color w:val="000000"/>
                <w:sz w:val="20"/>
                <w:szCs w:val="20"/>
              </w:rPr>
              <w:t xml:space="preserve">[REQ] 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pPr>
              <w:pStyle w:val="ListParagraph"/>
              <w:numPr>
                <w:ilvl w:val="0"/>
                <w:numId w:val="2"/>
              </w:numPr>
            </w:pPr>
            <w:r>
              <w:rPr>
                <w:i w:val="false"/>
                <w:iCs w:val="false"/>
                <w:color w:val="000000"/>
                <w:sz w:val="20"/>
                <w:szCs w:val="20"/>
              </w:rPr>
              <w:t xml:space="preserve">[REQ]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w:t>
            </w:r>
          </w:p>
          <w:p>
            <w:pPr>
              <w:pStyle w:val="ListParagraph"/>
              <w:numPr>
                <w:ilvl w:val="0"/>
                <w:numId w:val="2"/>
              </w:numPr>
            </w:pPr>
            <w:r>
              <w:rPr>
                <w:i w:val="false"/>
                <w:iCs w:val="false"/>
                <w:color w:val="000000"/>
                <w:sz w:val="20"/>
                <w:szCs w:val="20"/>
              </w:rPr>
              <w:t xml:space="preserve">[REQ] The contractor shall maintain and actively develop a variety of tools that are designed to help VA efficiently navigate, access, and analyze, archiving patient data.</w:t>
            </w:r>
          </w:p>
          <w:p>
            <w:pPr>
              <w:pStyle w:val="ListParagraph"/>
              <w:numPr>
                <w:ilvl w:val="0"/>
                <w:numId w:val="2"/>
              </w:numPr>
            </w:pPr>
            <w:r>
              <w:rPr>
                <w:i w:val="false"/>
                <w:iCs w:val="false"/>
                <w:color w:val="000000"/>
                <w:sz w:val="20"/>
                <w:szCs w:val="20"/>
              </w:rPr>
              <w:t xml:space="preserve">[REQ] The Contractor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Contractor may configure to comply with that STIG.</w:t>
            </w:r>
          </w:p>
          <w:p>
            <w:pPr>
              <w:pStyle w:val="ListParagraph"/>
              <w:numPr>
                <w:ilvl w:val="0"/>
                <w:numId w:val="2"/>
              </w:numPr>
            </w:pPr>
            <w:r>
              <w:rPr>
                <w:i w:val="false"/>
                <w:iCs w:val="false"/>
                <w:color w:val="000000"/>
                <w:sz w:val="20"/>
                <w:szCs w:val="20"/>
              </w:rPr>
              <w:t xml:space="preserve">[REQ] rmation system or systems by or on behalf of VA. This includes conducting compliance risk assessments, security architecture analysis, routine vulnerability scanning, system patching, change management procedures and the completion of an acceptable contingency plan for each system. The Contractor’s security control procedures shall be the same as procedures used to secure VA-operated information systems.</w:t>
            </w:r>
          </w:p>
          <w:p>
            <w:pPr>
              <w:pStyle w:val="ListParagraph"/>
              <w:numPr>
                <w:ilvl w:val="0"/>
                <w:numId w:val="2"/>
              </w:numPr>
            </w:pPr>
            <w:r>
              <w:rPr>
                <w:i w:val="false"/>
                <w:iCs w:val="false"/>
                <w:color w:val="000000"/>
                <w:sz w:val="20"/>
                <w:szCs w:val="20"/>
              </w:rPr>
              <w:t xml:space="preserve">[REQ] The Contractor shall provide sustainment support of new radiation oncology information systems virtual infrastructure environment (ROISVIE) to include hardware and software upgrade through the contract POP.</w:t>
            </w:r>
          </w:p>
          <w:p>
            <w:pPr>
              <w:pStyle w:val="ListParagraph"/>
              <w:numPr>
                <w:ilvl w:val="0"/>
                <w:numId w:val="2"/>
              </w:numPr>
            </w:pPr>
            <w:r>
              <w:rPr>
                <w:i w:val="false"/>
                <w:iCs w:val="false"/>
                <w:color w:val="000000"/>
                <w:sz w:val="20"/>
                <w:szCs w:val="20"/>
              </w:rPr>
              <w:t xml:space="preserve">[REQ] The Contractor shall provide an Implementation Plan which shall include all requirements necessary to provide and maintain a fully operational Radiation Oncology system to support project management and include installation support through policy development, planning, testing, implementation, installation, training, at an Enterprise level.</w:t>
            </w:r>
          </w:p>
          <w:p>
            <w:pPr>
              <w:pStyle w:val="ListParagraph"/>
              <w:numPr>
                <w:ilvl w:val="0"/>
                <w:numId w:val="2"/>
              </w:numPr>
            </w:pPr>
            <w:r>
              <w:rPr>
                <w:i w:val="false"/>
                <w:iCs w:val="false"/>
                <w:color w:val="000000"/>
                <w:sz w:val="20"/>
                <w:szCs w:val="20"/>
              </w:rPr>
              <w:t xml:space="preserve">[REQ] The network diagram shall consist of the core components and interfaces for network data workflow that is included in the design of the infrastructure topology as part of a section within the configuration plan.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2: MANAGEMENT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SEC-MGMT-1. Management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Management Approach]</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deliver a Contractor Project Management Plan (CPMP) that lays out the Contractor’s approach, timeline, and tools to be used in execution of this contract. The purpose of this plan is to ensure that the Government and the Contractor understand and manage risk, communications, schedules, deliverables, quality, and human resources.</w:t>
            </w:r>
          </w:p>
          <w:p>
            <w:pPr>
              <w:pStyle w:val="ListParagraph"/>
              <w:numPr>
                <w:ilvl w:val="0"/>
                <w:numId w:val="2"/>
              </w:numPr>
            </w:pPr>
            <w:r>
              <w:rPr>
                <w:i w:val="false"/>
                <w:iCs w:val="false"/>
                <w:color w:val="000000"/>
                <w:sz w:val="20"/>
                <w:szCs w:val="20"/>
              </w:rPr>
              <w:t xml:space="preserve">[REQ] A Risk Management Plan that details all risks that may impact contract success, to include a common name or title, probability, impact, risk score, origin, explanation, planned or recommended mitigation, time to close. Otherwise, complete Plan of Action &amp; Milestones (POAM) for identified risks.</w:t>
            </w:r>
          </w:p>
          <w:p>
            <w:pPr>
              <w:pStyle w:val="ListParagraph"/>
              <w:numPr>
                <w:ilvl w:val="0"/>
                <w:numId w:val="2"/>
              </w:numPr>
            </w:pPr>
            <w:r>
              <w:rPr>
                <w:i w:val="false"/>
                <w:iCs w:val="false"/>
                <w:color w:val="000000"/>
                <w:sz w:val="20"/>
                <w:szCs w:val="20"/>
              </w:rPr>
              <w:t xml:space="preserve">[REQ]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The Status Report shall cover all work completed during the reporting period and work planned for the subsequent reporting period for each project.</w:t>
            </w:r>
          </w:p>
          <w:p>
            <w:pPr>
              <w:pStyle w:val="ListParagraph"/>
              <w:numPr>
                <w:ilvl w:val="0"/>
                <w:numId w:val="2"/>
              </w:numPr>
            </w:pPr>
            <w:r>
              <w:rPr>
                <w:i w:val="false"/>
                <w:iCs w:val="false"/>
                <w:color w:val="000000"/>
                <w:sz w:val="20"/>
                <w:szCs w:val="20"/>
              </w:rPr>
              <w:t xml:space="preserve">[REQ] The Contractor shall track all risks in the VA approved project management tool utilized by the team they are supporting.</w:t>
            </w:r>
          </w:p>
          <w:p>
            <w:pPr>
              <w:pStyle w:val="ListParagraph"/>
              <w:numPr>
                <w:ilvl w:val="0"/>
                <w:numId w:val="2"/>
              </w:numPr>
            </w:pPr>
            <w:r>
              <w:rPr>
                <w:i w:val="false"/>
                <w:iCs w:val="false"/>
                <w:color w:val="000000"/>
                <w:sz w:val="20"/>
                <w:szCs w:val="20"/>
              </w:rPr>
              <w:t xml:space="preserve">[REQ] The Contractor shall provide an Implementation Plan which shall include all requirements necessary to provide and maintain a fully operational Radiation Oncology system to support project management and include installation support through policy development, planning, testing, implementation, installation, training, at an Enterprise level.</w:t>
            </w:r>
          </w:p>
          <w:p>
            <w:pPr>
              <w:pStyle w:val="ListParagraph"/>
              <w:numPr>
                <w:ilvl w:val="0"/>
                <w:numId w:val="2"/>
              </w:numPr>
            </w:pPr>
            <w:r>
              <w:rPr>
                <w:i w:val="false"/>
                <w:iCs w:val="false"/>
                <w:color w:val="000000"/>
                <w:sz w:val="20"/>
                <w:szCs w:val="20"/>
              </w:rPr>
              <w:t xml:space="preserve">[REQ] The Contractor shall develop a comprehensive Deployment Plan that encompasses the scope, schedule, and risk management strategies.</w:t>
            </w:r>
          </w:p>
          <w:p>
            <w:pPr>
              <w:pStyle w:val="ListParagraph"/>
              <w:numPr>
                <w:ilvl w:val="0"/>
                <w:numId w:val="2"/>
              </w:numPr>
            </w:pPr>
            <w:r>
              <w:rPr>
                <w:i w:val="false"/>
                <w:iCs w:val="false"/>
                <w:color w:val="000000"/>
                <w:sz w:val="20"/>
                <w:szCs w:val="20"/>
              </w:rPr>
              <w:t xml:space="preserve">[REQ]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pPr>
              <w:pStyle w:val="ListParagraph"/>
              <w:numPr>
                <w:ilvl w:val="0"/>
                <w:numId w:val="2"/>
              </w:numPr>
            </w:pPr>
            <w:r>
              <w:rPr>
                <w:i w:val="false"/>
                <w:iCs w:val="false"/>
                <w:color w:val="000000"/>
                <w:sz w:val="20"/>
                <w:szCs w:val="20"/>
              </w:rPr>
              <w:t xml:space="preserve">[REQ] The Contractor shall present, for review and approval by the Government, the details of the intended approach, work plan, and project schedule for each effort.</w:t>
            </w:r>
          </w:p>
          <w:p>
            <w:pPr>
              <w:pStyle w:val="ListParagraph"/>
              <w:numPr>
                <w:ilvl w:val="0"/>
                <w:numId w:val="2"/>
              </w:numPr>
            </w:pPr>
            <w:r>
              <w:rPr>
                <w:i w:val="false"/>
                <w:iCs w:val="false"/>
                <w:color w:val="000000"/>
                <w:sz w:val="20"/>
                <w:szCs w:val="20"/>
              </w:rPr>
              <w:t xml:space="preserve">[REQ] The Contractor shall provide a Configuration Plan which shall support operational visibility, facilitate risk management, and work to ensure that the ROISVIE solution remains aligned with VA’s evolving federal cybersecurity frameworks, including but not limited to NIST 800-53, FedRAMP, and the Center for Internet Sec</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SEC-MGMT-2. Project Schedule and Milestones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Project Schedule and Milestones]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deliver a Contractor Project Management Plan (CPMP) that lays out the Contractor’s approach, timeline, and tools to be used in execution of this contract. The purpose of this plan is to ensure that the Government and the Contractor understand and manage risk, communications, schedules, deliverables, quality, and human resources.</w:t>
            </w:r>
          </w:p>
          <w:p>
            <w:pPr>
              <w:pStyle w:val="ListParagraph"/>
              <w:numPr>
                <w:ilvl w:val="0"/>
                <w:numId w:val="2"/>
              </w:numPr>
            </w:pPr>
            <w:r>
              <w:rPr>
                <w:i w:val="false"/>
                <w:iCs w:val="false"/>
                <w:color w:val="000000"/>
                <w:sz w:val="20"/>
                <w:szCs w:val="20"/>
              </w:rPr>
              <w:t xml:space="preserve">[REQ] A Risk Management Plan that details all risks that may impact contract success, to include a common name or title, probability, impact, risk score, origin, explanation, planned or recommended mitigation, time to close. Otherwise, complete Plan of Action &amp; Milestones (POAM) for identified risks.</w:t>
            </w:r>
          </w:p>
          <w:p>
            <w:pPr>
              <w:pStyle w:val="ListParagraph"/>
              <w:numPr>
                <w:ilvl w:val="0"/>
                <w:numId w:val="2"/>
              </w:numPr>
            </w:pPr>
            <w:r>
              <w:rPr>
                <w:i w:val="false"/>
                <w:iCs w:val="false"/>
                <w:color w:val="000000"/>
                <w:sz w:val="20"/>
                <w:szCs w:val="20"/>
              </w:rPr>
              <w:t xml:space="preserve">[REQ]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The Status Report shall cover all work completed during the reporting period and work planned for the subsequent reporting period for each project.</w:t>
            </w:r>
          </w:p>
          <w:p>
            <w:pPr>
              <w:pStyle w:val="ListParagraph"/>
              <w:numPr>
                <w:ilvl w:val="0"/>
                <w:numId w:val="2"/>
              </w:numPr>
            </w:pPr>
            <w:r>
              <w:rPr>
                <w:i w:val="false"/>
                <w:iCs w:val="false"/>
                <w:color w:val="000000"/>
                <w:sz w:val="20"/>
                <w:szCs w:val="20"/>
              </w:rPr>
              <w:t xml:space="preserve">[REQ] The Contractor shall track all risks in the VA approved project management tool utilized by the team they are supporting.</w:t>
            </w:r>
          </w:p>
          <w:p>
            <w:pPr>
              <w:pStyle w:val="ListParagraph"/>
              <w:numPr>
                <w:ilvl w:val="0"/>
                <w:numId w:val="2"/>
              </w:numPr>
            </w:pPr>
            <w:r>
              <w:rPr>
                <w:i w:val="false"/>
                <w:iCs w:val="false"/>
                <w:color w:val="000000"/>
                <w:sz w:val="20"/>
                <w:szCs w:val="20"/>
              </w:rPr>
              <w:t xml:space="preserve">[REQ] The Contractor shall provide an Implementation Plan which shall include all requirements necessary to provide and maintain a fully operational Radiation Oncology system to support project management and include installation support through policy development, planning, testing, implementation, installation, training, at an Enterprise level.</w:t>
            </w:r>
          </w:p>
          <w:p>
            <w:pPr>
              <w:pStyle w:val="ListParagraph"/>
              <w:numPr>
                <w:ilvl w:val="0"/>
                <w:numId w:val="2"/>
              </w:numPr>
            </w:pPr>
            <w:r>
              <w:rPr>
                <w:i w:val="false"/>
                <w:iCs w:val="false"/>
                <w:color w:val="000000"/>
                <w:sz w:val="20"/>
                <w:szCs w:val="20"/>
              </w:rPr>
              <w:t xml:space="preserve">[REQ] The Contractor shall develop a comprehensive Deployment Plan that encompasses the scope, schedule, and risk management strategies.</w:t>
            </w:r>
          </w:p>
          <w:p>
            <w:pPr>
              <w:pStyle w:val="ListParagraph"/>
              <w:numPr>
                <w:ilvl w:val="0"/>
                <w:numId w:val="2"/>
              </w:numPr>
            </w:pPr>
            <w:r>
              <w:rPr>
                <w:i w:val="false"/>
                <w:iCs w:val="false"/>
                <w:color w:val="000000"/>
                <w:sz w:val="20"/>
                <w:szCs w:val="20"/>
              </w:rPr>
              <w:t xml:space="preserve">[REQ]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pPr>
              <w:pStyle w:val="ListParagraph"/>
              <w:numPr>
                <w:ilvl w:val="0"/>
                <w:numId w:val="2"/>
              </w:numPr>
            </w:pPr>
            <w:r>
              <w:rPr>
                <w:i w:val="false"/>
                <w:iCs w:val="false"/>
                <w:color w:val="000000"/>
                <w:sz w:val="20"/>
                <w:szCs w:val="20"/>
              </w:rPr>
              <w:t xml:space="preserve">[REQ] The Contractor shall present, for review and approval by the Government, the details of the intended approach, work plan, and project schedule for each effort.</w:t>
            </w:r>
          </w:p>
          <w:p>
            <w:pPr>
              <w:pStyle w:val="ListParagraph"/>
              <w:numPr>
                <w:ilvl w:val="0"/>
                <w:numId w:val="2"/>
              </w:numPr>
            </w:pPr>
            <w:r>
              <w:rPr>
                <w:i w:val="false"/>
                <w:iCs w:val="false"/>
                <w:color w:val="000000"/>
                <w:sz w:val="20"/>
                <w:szCs w:val="20"/>
              </w:rPr>
              <w:t xml:space="preserve">[REQ] The Contractor shall provide a Configuration Plan which shall support operational visibility, facilitate risk management, and work to ensure that the ROISVIE solution remains aligned with VA’s evolving federal cybersecurity frameworks, including but not limited to NIST 800-53, FedRAMP, and the Center for Internet Sec</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SEC-MGMT-3. Risk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Risk Management]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deliver a Contractor Project Management Plan (CPMP) that lays out the Contractor’s approach, timeline, and tools to be used in execution of this contract. The purpose of this plan is to ensure that the Government and the Contractor understand and manage risk, communications, schedules, deliverables, quality, and human resources.</w:t>
            </w:r>
          </w:p>
          <w:p>
            <w:pPr>
              <w:pStyle w:val="ListParagraph"/>
              <w:numPr>
                <w:ilvl w:val="0"/>
                <w:numId w:val="2"/>
              </w:numPr>
            </w:pPr>
            <w:r>
              <w:rPr>
                <w:i w:val="false"/>
                <w:iCs w:val="false"/>
                <w:color w:val="000000"/>
                <w:sz w:val="20"/>
                <w:szCs w:val="20"/>
              </w:rPr>
              <w:t xml:space="preserve">[REQ] A Risk Management Plan that details all risks that may impact contract success, to include a common name or title, probability, impact, risk score, origin, explanation, planned or recommended mitigation, time to close. Otherwise, complete Plan of Action &amp; Milestones (POAM) for identified risks.</w:t>
            </w:r>
          </w:p>
          <w:p>
            <w:pPr>
              <w:pStyle w:val="ListParagraph"/>
              <w:numPr>
                <w:ilvl w:val="0"/>
                <w:numId w:val="2"/>
              </w:numPr>
            </w:pPr>
            <w:r>
              <w:rPr>
                <w:i w:val="false"/>
                <w:iCs w:val="false"/>
                <w:color w:val="000000"/>
                <w:sz w:val="20"/>
                <w:szCs w:val="20"/>
              </w:rPr>
              <w:t xml:space="preserve">[REQ]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The Status Report shall cover all work completed during the reporting period and work planned for the subsequent reporting period for each project.</w:t>
            </w:r>
          </w:p>
          <w:p>
            <w:pPr>
              <w:pStyle w:val="ListParagraph"/>
              <w:numPr>
                <w:ilvl w:val="0"/>
                <w:numId w:val="2"/>
              </w:numPr>
            </w:pPr>
            <w:r>
              <w:rPr>
                <w:i w:val="false"/>
                <w:iCs w:val="false"/>
                <w:color w:val="000000"/>
                <w:sz w:val="20"/>
                <w:szCs w:val="20"/>
              </w:rPr>
              <w:t xml:space="preserve">[REQ] The Contractor shall track all risks in the VA approved project management tool utilized by the team they are supporting.</w:t>
            </w:r>
          </w:p>
          <w:p>
            <w:pPr>
              <w:pStyle w:val="ListParagraph"/>
              <w:numPr>
                <w:ilvl w:val="0"/>
                <w:numId w:val="2"/>
              </w:numPr>
            </w:pPr>
            <w:r>
              <w:rPr>
                <w:i w:val="false"/>
                <w:iCs w:val="false"/>
                <w:color w:val="000000"/>
                <w:sz w:val="20"/>
                <w:szCs w:val="20"/>
              </w:rPr>
              <w:t xml:space="preserve">[REQ] The Contractor shall provide an Implementation Plan which shall include all requirements necessary to provide and maintain a fully operational Radiation Oncology system to support project management and include installation support through policy development, planning, testing, implementation, installation, training, at an Enterprise level.</w:t>
            </w:r>
          </w:p>
          <w:p>
            <w:pPr>
              <w:pStyle w:val="ListParagraph"/>
              <w:numPr>
                <w:ilvl w:val="0"/>
                <w:numId w:val="2"/>
              </w:numPr>
            </w:pPr>
            <w:r>
              <w:rPr>
                <w:i w:val="false"/>
                <w:iCs w:val="false"/>
                <w:color w:val="000000"/>
                <w:sz w:val="20"/>
                <w:szCs w:val="20"/>
              </w:rPr>
              <w:t xml:space="preserve">[REQ] The Contractor shall develop a comprehensive Deployment Plan that encompasses the scope, schedule, and risk management strategies.</w:t>
            </w:r>
          </w:p>
          <w:p>
            <w:pPr>
              <w:pStyle w:val="ListParagraph"/>
              <w:numPr>
                <w:ilvl w:val="0"/>
                <w:numId w:val="2"/>
              </w:numPr>
            </w:pPr>
            <w:r>
              <w:rPr>
                <w:i w:val="false"/>
                <w:iCs w:val="false"/>
                <w:color w:val="000000"/>
                <w:sz w:val="20"/>
                <w:szCs w:val="20"/>
              </w:rPr>
              <w:t xml:space="preserve">[REQ]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pPr>
              <w:pStyle w:val="ListParagraph"/>
              <w:numPr>
                <w:ilvl w:val="0"/>
                <w:numId w:val="2"/>
              </w:numPr>
            </w:pPr>
            <w:r>
              <w:rPr>
                <w:i w:val="false"/>
                <w:iCs w:val="false"/>
                <w:color w:val="000000"/>
                <w:sz w:val="20"/>
                <w:szCs w:val="20"/>
              </w:rPr>
              <w:t xml:space="preserve">[REQ] The Contractor shall present, for review and approval by the Government, the details of the intended approach, work plan, and project schedule for each effort.</w:t>
            </w:r>
          </w:p>
          <w:p>
            <w:pPr>
              <w:pStyle w:val="ListParagraph"/>
              <w:numPr>
                <w:ilvl w:val="0"/>
                <w:numId w:val="2"/>
              </w:numPr>
            </w:pPr>
            <w:r>
              <w:rPr>
                <w:i w:val="false"/>
                <w:iCs w:val="false"/>
                <w:color w:val="000000"/>
                <w:sz w:val="20"/>
                <w:szCs w:val="20"/>
              </w:rPr>
              <w:t xml:space="preserve">[REQ] The Contractor shall provide a Configuration Plan which shall support operational visibility, facilitate risk management, and work to ensure that the ROISVIE solution remains aligned with VA’s evolving federal cybersecurity frameworks, including but not limited to NIST 800-53, FedRAMP, and the Center for Internet Sec</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SEC-MGMT-4.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Quality Assurance]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3: PAST PERFORMANCE</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SEC-PP-1. Past Performance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Past Performance Overview]</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all maintenance services in a timely manner in accordance with the Contractor’s customary practice or as defined in the Performance Work Statement or Product Description.  However, prolonged delay (exceeding 2 business days) in resolving software problems will be noted in the Government’s various past performance records on the Contractor. (https://www.cpars.gov/cparsweb/home)</w:t>
            </w:r>
          </w:p>
          <w:p>
            <w:pPr>
              <w:pStyle w:val="ListParagraph"/>
              <w:numPr>
                <w:ilvl w:val="0"/>
                <w:numId w:val="2"/>
              </w:numPr>
            </w:pPr>
            <w:r>
              <w:rPr>
                <w:i w:val="false"/>
                <w:iCs w:val="false"/>
                <w:color w:val="000000"/>
                <w:sz w:val="20"/>
                <w:szCs w:val="20"/>
              </w:rPr>
              <w:t xml:space="preserve">[REQ] Fair and Reasonable Cost Determination
I hereby determine that the anticipated price to the Government for this contract 
action will be fair and reasonable as the selected SDVOSB vendor is expected to 
offer pricing consistent with market rates and prior procurements of similar scope 
and complexity. If necessary, further price analysis will be conducted in accordance 
with FAR 15.404-1(b) to ensure the reasonableness of the proposed pricing.</w:t>
            </w:r>
          </w:p>
          <w:p>
            <w:pPr>
              <w:pStyle w:val="ListParagraph"/>
              <w:numPr>
                <w:ilvl w:val="0"/>
                <w:numId w:val="2"/>
              </w:numPr>
            </w:pPr>
            <w:r>
              <w:rPr>
                <w:i w:val="false"/>
                <w:iCs w:val="false"/>
                <w:color w:val="000000"/>
                <w:sz w:val="20"/>
                <w:szCs w:val="20"/>
              </w:rPr>
              <w:t xml:space="preserve">[REQ] (e) Relationship to termination clause, if applicable. If the Government terminates this contract in whole or in part under the Termination for cause paragraph, FAR 52.212–4(m), Contract Terms and Conditions—Commercial Products and Commercial Services, the Contractor is liable for damages accruing until the Government reasonably obtains delivery or performance of similar supplies or services. These damages are in addition to costs of repurchase as may be required under the Termination clause.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SEC-PP-2. Contract Reference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Contract Reference 1]</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all maintenance services in a timely manner in accordance with the Contractor’s customary practice or as defined in the Performance Work Statement or Product Description.  However, prolonged delay (exceeding 2 business days) in resolving software problems will be noted in the Government’s various past performance records on the Contractor. (https://www.cpars.gov/cparsweb/home)</w:t>
            </w:r>
          </w:p>
          <w:p>
            <w:pPr>
              <w:pStyle w:val="ListParagraph"/>
              <w:numPr>
                <w:ilvl w:val="0"/>
                <w:numId w:val="2"/>
              </w:numPr>
            </w:pPr>
            <w:r>
              <w:rPr>
                <w:i w:val="false"/>
                <w:iCs w:val="false"/>
                <w:color w:val="000000"/>
                <w:sz w:val="20"/>
                <w:szCs w:val="20"/>
              </w:rPr>
              <w:t xml:space="preserve">[REQ] Fair and Reasonable Cost Determination
I hereby determine that the anticipated price to the Government for this contract 
action will be fair and reasonable as the selected SDVOSB vendor is expected to 
offer pricing consistent with market rates and prior procurements of similar scope 
and complexity. If necessary, further price analysis will be conducted in accordance 
with FAR 15.404-1(b) to ensure the reasonableness of the proposed pricing.</w:t>
            </w:r>
          </w:p>
          <w:p>
            <w:pPr>
              <w:pStyle w:val="ListParagraph"/>
              <w:numPr>
                <w:ilvl w:val="0"/>
                <w:numId w:val="2"/>
              </w:numPr>
            </w:pPr>
            <w:r>
              <w:rPr>
                <w:i w:val="false"/>
                <w:iCs w:val="false"/>
                <w:color w:val="000000"/>
                <w:sz w:val="20"/>
                <w:szCs w:val="20"/>
              </w:rPr>
              <w:t xml:space="preserve">[REQ] (e) Relationship to termination clause, if applicable. If the Government terminates this contract in whole or in part under the Termination for cause paragraph, FAR 52.212–4(m), Contract Terms and Conditions—Commercial Products and Commercial Services, the Contractor is liable for damages accruing until the Government reasonably obtains delivery or performance of similar supplies or services. These damages are in addition to costs of repurchase as may be required under the Termination clause.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SEC-PP-3. Contract Reference 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Contract Reference 2]</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all maintenance services in a timely manner in accordance with the Contractor’s customary practice or as defined in the Performance Work Statement or Product Description.  However, prolonged delay (exceeding 2 business days) in resolving software problems will be noted in the Government’s various past performance records on the Contractor. (https://www.cpars.gov/cparsweb/home)</w:t>
            </w:r>
          </w:p>
          <w:p>
            <w:pPr>
              <w:pStyle w:val="ListParagraph"/>
              <w:numPr>
                <w:ilvl w:val="0"/>
                <w:numId w:val="2"/>
              </w:numPr>
            </w:pPr>
            <w:r>
              <w:rPr>
                <w:i w:val="false"/>
                <w:iCs w:val="false"/>
                <w:color w:val="000000"/>
                <w:sz w:val="20"/>
                <w:szCs w:val="20"/>
              </w:rPr>
              <w:t xml:space="preserve">[REQ] Fair and Reasonable Cost Determination
I hereby determine that the anticipated price to the Government for this contract 
action will be fair and reasonable as the selected SDVOSB vendor is expected to 
offer pricing consistent with market rates and prior procurements of similar scope 
and complexity. If necessary, further price analysis will be conducted in accordance 
with FAR 15.404-1(b) to ensure the reasonableness of the proposed pricing.</w:t>
            </w:r>
          </w:p>
          <w:p>
            <w:pPr>
              <w:pStyle w:val="ListParagraph"/>
              <w:numPr>
                <w:ilvl w:val="0"/>
                <w:numId w:val="2"/>
              </w:numPr>
            </w:pPr>
            <w:r>
              <w:rPr>
                <w:i w:val="false"/>
                <w:iCs w:val="false"/>
                <w:color w:val="000000"/>
                <w:sz w:val="20"/>
                <w:szCs w:val="20"/>
              </w:rPr>
              <w:t xml:space="preserve">[REQ] (e) Relationship to termination clause, if applicable. If the Government terminates this contract in whole or in part under the Termination for cause paragraph, FAR 52.212–4(m), Contract Terms and Conditions—Commercial Products and Commercial Services, the Contractor is liable for damages accruing until the Government reasonably obtains delivery or performance of similar supplies or services. These damages are in addition to costs of repurchase as may be required under the Termination clause.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SEC-PP-4. Contract Reference 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Contract Reference 3]</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all maintenance services in a timely manner in accordance with the Contractor’s customary practice or as defined in the Performance Work Statement or Product Description.  However, prolonged delay (exceeding 2 business days) in resolving software problems will be noted in the Government’s various past performance records on the Contractor. (https://www.cpars.gov/cparsweb/home)</w:t>
            </w:r>
          </w:p>
          <w:p>
            <w:pPr>
              <w:pStyle w:val="ListParagraph"/>
              <w:numPr>
                <w:ilvl w:val="0"/>
                <w:numId w:val="2"/>
              </w:numPr>
            </w:pPr>
            <w:r>
              <w:rPr>
                <w:i w:val="false"/>
                <w:iCs w:val="false"/>
                <w:color w:val="000000"/>
                <w:sz w:val="20"/>
                <w:szCs w:val="20"/>
              </w:rPr>
              <w:t xml:space="preserve">[REQ] Fair and Reasonable Cost Determination
I hereby determine that the anticipated price to the Government for this contract 
action will be fair and reasonable as the selected SDVOSB vendor is expected to 
offer pricing consistent with market rates and prior procurements of similar scope 
and complexity. If necessary, further price analysis will be conducted in accordance 
with FAR 15.404-1(b) to ensure the reasonableness of the proposed pricing.</w:t>
            </w:r>
          </w:p>
          <w:p>
            <w:pPr>
              <w:pStyle w:val="ListParagraph"/>
              <w:numPr>
                <w:ilvl w:val="0"/>
                <w:numId w:val="2"/>
              </w:numPr>
            </w:pPr>
            <w:r>
              <w:rPr>
                <w:i w:val="false"/>
                <w:iCs w:val="false"/>
                <w:color w:val="000000"/>
                <w:sz w:val="20"/>
                <w:szCs w:val="20"/>
              </w:rPr>
              <w:t xml:space="preserve">[REQ] (e) Relationship to termination clause, if applicable. If the Government terminates this contract in whole or in part under the Termination for cause paragraph, FAR 52.212–4(m), Contract Terms and Conditions—Commercial Products and Commercial Services, the Contractor is liable for damages accruing until the Government reasonably obtains delivery or performance of similar supplies or services. These damages are in addition to costs of repurchase as may be required under the Termination clause.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4: COST/PRICE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SEC-COST-1. Cost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Cost Summary]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SEC-COST-2. Pricing Methodology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Pricing Methodology]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implementation, configuration, and change management services that are consistent with VA’s standard implementation and deployment methodology and configure to meet all VA’s requirements as stipulated in this PD.</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w:t>
            </w:r>
          </w:p>
          <w:p>
            <w:pPr>
              <w:pStyle w:val="ListParagraph"/>
              <w:numPr>
                <w:ilvl w:val="0"/>
                <w:numId w:val="2"/>
              </w:numPr>
            </w:pPr>
            <w:r>
              <w:rPr>
                <w:i w:val="false"/>
                <w:iCs w:val="false"/>
                <w:color w:val="000000"/>
                <w:sz w:val="20"/>
                <w:szCs w:val="20"/>
              </w:rPr>
              <w:t xml:space="preserve">[REQ] 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pPr>
              <w:pStyle w:val="ListParagraph"/>
              <w:numPr>
                <w:ilvl w:val="0"/>
                <w:numId w:val="2"/>
              </w:numPr>
            </w:pPr>
            <w:r>
              <w:rPr>
                <w:i w:val="false"/>
                <w:iCs w:val="false"/>
                <w:color w:val="000000"/>
                <w:sz w:val="20"/>
                <w:szCs w:val="20"/>
              </w:rPr>
              <w:t xml:space="preserve">[REQ]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w:t>
            </w:r>
          </w:p>
          <w:p>
            <w:pPr>
              <w:pStyle w:val="ListParagraph"/>
              <w:numPr>
                <w:ilvl w:val="0"/>
                <w:numId w:val="2"/>
              </w:numPr>
            </w:pPr>
            <w:r>
              <w:rPr>
                <w:i w:val="false"/>
                <w:iCs w:val="false"/>
                <w:color w:val="000000"/>
                <w:sz w:val="20"/>
                <w:szCs w:val="20"/>
              </w:rPr>
              <w:t xml:space="preserve">[REQ] The contractor shall maintain and actively develop a variety of tools that are designed to help VA efficiently navigate, access, and analyze, archiving patient data.</w:t>
            </w:r>
          </w:p>
          <w:p>
            <w:pPr>
              <w:pStyle w:val="ListParagraph"/>
              <w:numPr>
                <w:ilvl w:val="0"/>
                <w:numId w:val="2"/>
              </w:numPr>
            </w:pPr>
            <w:r>
              <w:rPr>
                <w:i w:val="false"/>
                <w:iCs w:val="false"/>
                <w:color w:val="000000"/>
                <w:sz w:val="20"/>
                <w:szCs w:val="20"/>
              </w:rPr>
              <w:t xml:space="preserve">[REQ] The Contractor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Contractor may configure to comply with that STIG.</w:t>
            </w:r>
          </w:p>
          <w:p>
            <w:pPr>
              <w:pStyle w:val="ListParagraph"/>
              <w:numPr>
                <w:ilvl w:val="0"/>
                <w:numId w:val="2"/>
              </w:numPr>
            </w:pPr>
            <w:r>
              <w:rPr>
                <w:i w:val="false"/>
                <w:iCs w:val="false"/>
                <w:color w:val="000000"/>
                <w:sz w:val="20"/>
                <w:szCs w:val="20"/>
              </w:rPr>
              <w:t xml:space="preserve">[REQ] rmation system or systems by or on behalf of VA. This includes conducting compliance risk assessments, security architecture analysis, routine vulnerability scanning, system patching, change management procedures and the completion of an acceptable contingency plan for each system. The Contractor’s security control procedures shall be the same as procedures used to secure VA-operated information systems.</w:t>
            </w:r>
          </w:p>
          <w:p>
            <w:pPr>
              <w:pStyle w:val="ListParagraph"/>
              <w:numPr>
                <w:ilvl w:val="0"/>
                <w:numId w:val="2"/>
              </w:numPr>
            </w:pPr>
            <w:r>
              <w:rPr>
                <w:i w:val="false"/>
                <w:iCs w:val="false"/>
                <w:color w:val="000000"/>
                <w:sz w:val="20"/>
                <w:szCs w:val="20"/>
              </w:rPr>
              <w:t xml:space="preserve">[REQ] The Contractor shall provide sustainment support of new radiation oncology information systems virtual infrastructure environment (ROISVIE) to include hardware and software upgrade through the contract POP.</w:t>
            </w:r>
          </w:p>
          <w:p>
            <w:pPr>
              <w:pStyle w:val="ListParagraph"/>
              <w:numPr>
                <w:ilvl w:val="0"/>
                <w:numId w:val="2"/>
              </w:numPr>
            </w:pPr>
            <w:r>
              <w:rPr>
                <w:i w:val="false"/>
                <w:iCs w:val="false"/>
                <w:color w:val="000000"/>
                <w:sz w:val="20"/>
                <w:szCs w:val="20"/>
              </w:rPr>
              <w:t xml:space="preserve">[REQ] The Contractor shall provide an Implementation Plan which shall include all requirements necessary to provide and maintain a fully operational Radiation Oncology system to support project management and include installation support through policy development, planning, testing, implementation, installation, training, at an Enterprise level.</w:t>
            </w:r>
          </w:p>
          <w:p>
            <w:pPr>
              <w:pStyle w:val="ListParagraph"/>
              <w:numPr>
                <w:ilvl w:val="0"/>
                <w:numId w:val="2"/>
              </w:numPr>
            </w:pPr>
            <w:r>
              <w:rPr>
                <w:i w:val="false"/>
                <w:iCs w:val="false"/>
                <w:color w:val="000000"/>
                <w:sz w:val="20"/>
                <w:szCs w:val="20"/>
              </w:rPr>
              <w:t xml:space="preserve">[REQ] The network diagram shall consist of the core components and interfaces for network data workflow that is included in the design of the infrastructure topology as part of a section within the configuration plan.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6"/>
        <w:szCs w:val="16"/>
      </w:rPr>
      <w:t xml:space="preserve">[Your Company Name] PROPRIETARY -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04040"/>
        <w:sz w:val="18"/>
        <w:szCs w:val="18"/>
      </w:rPr>
      <w:t xml:space="preserve">36C10B26Q0064_1 - ANNOTATED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b/>
      <w:bCs/>
      <w:color w:val="000000"/>
      <w:sz w:val="48"/>
      <w:szCs w:val="48"/>
      <w:rFonts w:ascii="Arial" w:cs="Arial" w:eastAsia="Arial" w:hAnsi="Arial"/>
    </w:rPr>
  </w:style>
  <w:style w:type="paragraph" w:styleId="Heading1">
    <w:name w:val="Heading 1"/>
    <w:basedOn w:val="Normal"/>
    <w:next w:val="Normal"/>
    <w:qFormat/>
    <w:pPr>
      <w:spacing w:before="360" w:after="12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404040"/>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 w:type="paragraph" w:styleId="AnnotationLabel">
    <w:name w:val="Annotation Label"/>
    <w:basedOn w:val="Normal"/>
    <w:pPr>
      <w:spacing w:before="60" w:after="40"/>
    </w:pPr>
    <w:rPr>
      <w:b/>
      <w:bCs/>
      <w:sz w:val="18"/>
      <w:szCs w:val="18"/>
      <w:smallCaps/>
      <w:rFonts w:ascii="Arial" w:cs="Arial" w:eastAsia="Arial" w:hAnsi="Arial"/>
    </w:rPr>
  </w:style>
  <w:style w:type="paragraph" w:styleId="RequirementText">
    <w:name w:val="Requirement Text"/>
    <w:basedOn w:val="Normal"/>
    <w:pPr>
      <w:spacing w:before="40" w:after="40"/>
      <w:ind w:left="360"/>
    </w:pPr>
    <w:rPr>
      <w:i/>
      <w:iCs/>
      <w:sz w:val="20"/>
      <w:szCs w:val="20"/>
      <w:rFonts w:ascii="Arial" w:cs="Arial" w:eastAsia="Arial" w:hAnsi="Arial"/>
    </w:rPr>
  </w:style>
  <w:style w:type="paragraph" w:styleId="WriterGuidance">
    <w:name w:val="Writer Guidance"/>
    <w:basedOn w:val="Normal"/>
    <w:pPr>
      <w:spacing w:before="80" w:after="80"/>
      <w:ind w:left="360"/>
    </w:pPr>
    <w:rPr>
      <w:color w:val="404040"/>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2025-12-14T18:08:08.364Z</dcterms:created>
  <dcterms:modified xsi:type="dcterms:W3CDTF">2025-12-14T18:08:08.365Z</dcterms:modified>
</cp:coreProperties>
</file>

<file path=docProps/custom.xml><?xml version="1.0" encoding="utf-8"?>
<Properties xmlns="http://schemas.openxmlformats.org/officeDocument/2006/custom-properties" xmlns:vt="http://schemas.openxmlformats.org/officeDocument/2006/docPropsVTypes"/>
</file>