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ANNOTATED PROPOSAL OUTLINE</w:t>
      </w:r>
    </w:p>
    <w:p>
      <w:pPr>
        <w:spacing w:before="400" w:after="400"/>
        <w:jc w:val="center"/>
      </w:pPr>
      <w:r>
        <w:rPr>
          <w:b/>
          <w:bCs/>
          <w:color w:val="000000"/>
          <w:sz w:val="36"/>
          <w:szCs w:val="36"/>
        </w:rPr>
        <w:t xml:space="preserve">Attachment 2. Placement Procedures</w:t>
      </w:r>
    </w:p>
    <w:p>
      <w:pPr>
        <w:spacing w:after="200"/>
        <w:jc w:val="center"/>
      </w:pPr>
      <w:r>
        <w:rPr>
          <w:sz w:val="24"/>
          <w:szCs w:val="24"/>
        </w:rPr>
        <w:t xml:space="preserve">Solicitation Number: null</w:t>
      </w:r>
    </w:p>
    <w:p>
      <w:pPr>
        <w:spacing w:after="600"/>
        <w:jc w:val="center"/>
      </w:pPr>
      <w:r>
        <w:rPr>
          <w:b/>
          <w:bCs/>
          <w:color w:val="C00000"/>
          <w:sz w:val="24"/>
          <w:szCs w:val="24"/>
        </w:rPr>
        <w:t xml:space="preserve">Proposal Due: TBD</w:t>
      </w:r>
    </w:p>
    <w:p>
      <w:pPr>
        <w:spacing w:before="800"/>
        <w:jc w:val="center"/>
      </w:pPr>
      <w:r>
        <w:rPr>
          <w:sz w:val="22"/>
          <w:szCs w:val="22"/>
        </w:rPr>
        <w:t xml:space="preserve">Prepared by: [Your Company Name]</w:t>
      </w:r>
    </w:p>
    <w:p>
      <w:pPr>
        <w:pBdr>
          <w:top w:val="single" w:color="000000" w:sz="6"/>
        </w:pBdr>
        <w:spacing w:before="1200" w:after="400"/>
        <w:jc w:val="center"/>
      </w:pPr>
      <w:r>
        <w:rPr>
          <w:i/>
          <w:iCs/>
          <w:sz w:val="20"/>
          <w:szCs w:val="20"/>
        </w:rPr>
        <w:t xml:space="preserve">This annotated outline serves as the master template for all proposal content development. </w:t>
      </w:r>
      <w:r>
        <w:rPr>
          <w:i/>
          <w:iCs/>
          <w:sz w:val="20"/>
          <w:szCs w:val="20"/>
        </w:rPr>
        <w:t xml:space="preserve">All writers must address every annotated requirement and follow the page allocations specified.</w:t>
      </w:r>
    </w:p>
    <w:p>
      <w:r>
        <w:br w:type="page"/>
      </w:r>
    </w:p>
    <w:p>
      <w:pPr>
        <w:pStyle w:val="Heading1"/>
      </w:pPr>
      <w:r>
        <w:t xml:space="preserve">SUBMISSION &amp; FORMAT REQUIREMENTS</w:t>
      </w:r>
    </w:p>
    <w:p>
      <w:pPr>
        <w:spacing w:after="200"/>
      </w:pPr>
      <w:r>
        <w:rPr>
          <w:b/>
          <w:bCs/>
          <w:color w:val="C00000"/>
        </w:rPr>
        <w:t xml:space="preserve">CRITICAL: Non-compliance with format requirements may result in proposal disqualification.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C000" w:val="clear"/>
          </w:tcPr>
          <w:p>
            <w:r>
              <w:rPr>
                <w:b/>
                <w:bCs/>
                <w:sz w:val="22"/>
                <w:szCs w:val="22"/>
              </w:rPr>
              <w:t xml:space="preserve">Due Date</w:t>
            </w:r>
          </w:p>
        </w:tc>
        <w:tc>
          <w:tcPr>
            <w:tcW w:type="dxa" w:w="6360"/>
            <w:tcBorders>
              <w:top w:val="single" w:color="CCCCCC" w:sz="1"/>
              <w:left w:val="single" w:color="CCCCCC" w:sz="1"/>
              <w:bottom w:val="single" w:color="CCCCCC" w:sz="1"/>
              <w:right w:val="single" w:color="CCCCCC" w:sz="1"/>
            </w:tcBorders>
            <w:shd w:fill="FFC000" w:val="clear"/>
          </w:tcPr>
          <w:p>
            <w:r>
              <w:rPr>
                <w:color w:val="000000"/>
                <w:sz w:val="22"/>
                <w:szCs w:val="22"/>
              </w:rPr>
              <w:t xml:space="preserve">TBD</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Submission Method</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Electronic submission</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Total Page Limit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See individual volumes</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Times 
New Roman</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12 pt</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Margins</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Line Spacing</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Page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8.5" x 11" (Letter)</w:t>
            </w:r>
          </w:p>
        </w:tc>
      </w:tr>
    </w:tbl>
    <w:p>
      <w:pPr>
        <w:spacing w:after="200"/>
      </w:pPr>
    </w:p>
    <w:p>
      <w:pPr>
        <w:pStyle w:val="Heading2"/>
      </w:pPr>
      <w:r>
        <w:rPr>
          <w:color w:val="C00000"/>
        </w:rPr>
        <w:t xml:space="preserve">⚠️ P0 CONSTRAINTS - DISQUALIFICATION RISKS</w:t>
      </w:r>
    </w:p>
    <w:p>
      <w:pPr>
        <w:pBdr>
          <w:left w:val="single" w:color="C00000" w:sz="12"/>
        </w:pBdr>
        <w:shd w:fill="FCE4D6" w:val="clear"/>
        <w:spacing w:after="120"/>
        <w:ind w:left="180"/>
      </w:pPr>
      <w:r>
        <w:rPr>
          <w:b/>
          <w:bCs/>
          <w:color w:val="C00000"/>
          <w:sz w:val="22"/>
          <w:szCs w:val="22"/>
        </w:rPr>
        <w:t xml:space="preserve">CRITICAL: The following constraints are Pass/Fail. Violation of ANY P0 constraint may result in proposal rejection without further evaluation.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800"/>
        <w:gridCol w:w="2560"/>
      </w:tblGrid>
      <w:tr>
        <w:trPr>
          <w:tblHeader/>
        </w:trPr>
        <w:tc>
          <w:tcPr>
            <w:tcW w:type="dxa" w:w="1500"/>
            <w:tcBorders>
              <w:top w:val="single" w:color="C00000" w:sz="2"/>
              <w:left w:val="single" w:color="C00000" w:sz="2"/>
              <w:bottom w:val="single" w:color="C00000" w:sz="2"/>
              <w:right w:val="single" w:color="C00000" w:sz="2"/>
            </w:tcBorders>
            <w:shd w:fill="C00000" w:val="clear"/>
          </w:tcPr>
          <w:p>
            <w:r>
              <w:rPr>
                <w:b/>
                <w:bCs/>
                <w:color w:val="FFFFFF"/>
                <w:sz w:val="18"/>
                <w:szCs w:val="18"/>
              </w:rPr>
              <w:t xml:space="preserve">Type</w:t>
            </w:r>
          </w:p>
        </w:tc>
        <w:tc>
          <w:tcPr>
            <w:tcW w:type="dxa" w:w="3500"/>
            <w:tcBorders>
              <w:top w:val="single" w:color="C00000" w:sz="2"/>
              <w:left w:val="single" w:color="C00000" w:sz="2"/>
              <w:bottom w:val="single" w:color="C00000" w:sz="2"/>
              <w:right w:val="single" w:color="C00000" w:sz="2"/>
            </w:tcBorders>
            <w:shd w:fill="C00000" w:val="clear"/>
          </w:tcPr>
          <w:p>
            <w:r>
              <w:rPr>
                <w:b/>
                <w:bCs/>
                <w:color w:val="FFFFFF"/>
                <w:sz w:val="18"/>
                <w:szCs w:val="18"/>
              </w:rPr>
              <w:t xml:space="preserve">Constraint</w:t>
            </w:r>
          </w:p>
        </w:tc>
        <w:tc>
          <w:tcPr>
            <w:tcW w:type="dxa" w:w="1800"/>
            <w:tcBorders>
              <w:top w:val="single" w:color="C00000" w:sz="2"/>
              <w:left w:val="single" w:color="C00000" w:sz="2"/>
              <w:bottom w:val="single" w:color="C00000" w:sz="2"/>
              <w:right w:val="single" w:color="C00000" w:sz="2"/>
            </w:tcBorders>
            <w:shd w:fill="C00000" w:val="clear"/>
          </w:tcPr>
          <w:p>
            <w:r>
              <w:rPr>
                <w:b/>
                <w:bCs/>
                <w:color w:val="FFFFFF"/>
                <w:sz w:val="18"/>
                <w:szCs w:val="18"/>
              </w:rPr>
              <w:t xml:space="preserve">Applies To</w:t>
            </w:r>
          </w:p>
        </w:tc>
        <w:tc>
          <w:tcPr>
            <w:tcW w:type="dxa" w:w="2560"/>
            <w:tcBorders>
              <w:top w:val="single" w:color="C00000" w:sz="2"/>
              <w:left w:val="single" w:color="C00000" w:sz="2"/>
              <w:bottom w:val="single" w:color="C00000" w:sz="2"/>
              <w:right w:val="single" w:color="C00000" w:sz="2"/>
            </w:tcBorders>
            <w:shd w:fill="C00000" w:val="clear"/>
          </w:tcPr>
          <w:p>
            <w:r>
              <w:rPr>
                <w:b/>
                <w:bCs/>
                <w:color w:val="FFFFFF"/>
                <w:sz w:val="18"/>
                <w:szCs w:val="18"/>
              </w:rPr>
              <w:t xml:space="preserve">Consequence</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May cause disqualification</w:t>
            </w:r>
          </w:p>
        </w:tc>
      </w:tr>
    </w:tbl>
    <w:p>
      <w:pPr>
        <w:spacing w:after="200"/>
      </w:pPr>
    </w:p>
    <w:p>
      <w:r>
        <w:br w:type="page"/>
      </w:r>
    </w:p>
    <w:p>
      <w:pPr>
        <w:pStyle w:val="Heading2"/>
      </w:pPr>
      <w:r>
        <w:t xml:space="preserve">Annotation Color Code Legend</w:t>
      </w:r>
    </w:p>
    <w:p>
      <w:pPr>
        <w:spacing w:after="120"/>
      </w:pPr>
      <w:r>
        <w:rPr>
          <w:sz w:val="20"/>
          <w:szCs w:val="20"/>
        </w:rPr>
        <w:t xml:space="preserve">Requirements are color-coded by source to help writers understand what the customer is asking for (Section C), how to submit it (Section L), and how it will be scored (Section 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D5D5D5" w:val="clear"/>
          </w:tcPr>
          <w:p>
            <w:r>
              <w:rPr>
                <w:b/>
                <w:bCs/>
                <w:sz w:val="20"/>
                <w:szCs w:val="20"/>
              </w:rPr>
              <w:t xml:space="preserve">Color</w:t>
            </w:r>
          </w:p>
        </w:tc>
        <w:tc>
          <w:tcPr>
            <w:tcW w:type="dxa" w:w="3000"/>
            <w:tcBorders>
              <w:top w:val="single" w:color="CCCCCC" w:sz="1"/>
              <w:left w:val="single" w:color="CCCCCC" w:sz="1"/>
              <w:bottom w:val="single" w:color="CCCCCC" w:sz="1"/>
              <w:right w:val="single" w:color="CCCCCC" w:sz="1"/>
            </w:tcBorders>
            <w:shd w:fill="D5D5D5" w:val="clear"/>
          </w:tcPr>
          <w:p>
            <w:r>
              <w:rPr>
                <w:b/>
                <w:bCs/>
                <w:sz w:val="20"/>
                <w:szCs w:val="20"/>
              </w:rPr>
              <w:t xml:space="preserve">Source</w:t>
            </w:r>
          </w:p>
        </w:tc>
        <w:tc>
          <w:tcPr>
            <w:tcW w:type="dxa" w:w="4560"/>
            <w:tcBorders>
              <w:top w:val="single" w:color="CCCCCC" w:sz="1"/>
              <w:left w:val="single" w:color="CCCCCC" w:sz="1"/>
              <w:bottom w:val="single" w:color="CCCCCC" w:sz="1"/>
              <w:right w:val="single" w:color="CCCCCC" w:sz="1"/>
            </w:tcBorders>
            <w:shd w:fill="D5D5D5" w:val="clear"/>
          </w:tcPr>
          <w:p>
            <w:r>
              <w:rPr>
                <w:b/>
                <w:bCs/>
                <w:sz w:val="20"/>
                <w:szCs w:val="20"/>
              </w:rPr>
              <w:t xml:space="preserve">Purpose</w:t>
            </w:r>
          </w:p>
        </w:tc>
      </w:tr>
      <w:tr>
        <w:tc>
          <w:tcPr>
            <w:tcW w:type="dxa" w:w="1800"/>
            <w:tcBorders>
              <w:top w:val="single" w:color="CCCCCC" w:sz="1"/>
              <w:left w:val="single" w:color="CCCCCC" w:sz="1"/>
              <w:bottom w:val="single" w:color="CCCCCC" w:sz="1"/>
              <w:right w:val="single" w:color="CCCCCC" w:sz="1"/>
            </w:tcBorders>
          </w:tcPr>
          <w:p>
            <w:r>
              <w:rPr>
                <w:b/>
                <w:bCs/>
                <w:color w:val="C00000"/>
                <w:sz w:val="20"/>
                <w:szCs w:val="20"/>
              </w:rPr>
              <w:t xml:space="preserve">RED</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L (Instructions)</w:t>
            </w:r>
          </w:p>
        </w:tc>
        <w:tc>
          <w:tcPr>
            <w:tcW w:type="dxa" w:w="4560"/>
            <w:tcBorders>
              <w:top w:val="single" w:color="CCCCCC" w:sz="1"/>
              <w:left w:val="single" w:color="CCCCCC" w:sz="1"/>
              <w:bottom w:val="single" w:color="CCCCCC" w:sz="1"/>
              <w:right w:val="single" w:color="CCCCCC" w:sz="1"/>
            </w:tcBorders>
          </w:tcPr>
          <w:p>
            <w:r>
              <w:rPr>
                <w:sz w:val="20"/>
                <w:szCs w:val="20"/>
              </w:rPr>
              <w:t xml:space="preserve">How to submit - format, content, page limits</w:t>
            </w:r>
          </w:p>
        </w:tc>
      </w:tr>
      <w:tr>
        <w:tc>
          <w:tcPr>
            <w:tcW w:type="dxa" w:w="1800"/>
            <w:tcBorders>
              <w:top w:val="single" w:color="CCCCCC" w:sz="1"/>
              <w:left w:val="single" w:color="CCCCCC" w:sz="1"/>
              <w:bottom w:val="single" w:color="CCCCCC" w:sz="1"/>
              <w:right w:val="single" w:color="CCCCCC" w:sz="1"/>
            </w:tcBorders>
          </w:tcPr>
          <w:p>
            <w:r>
              <w:rPr>
                <w:b/>
                <w:bCs/>
                <w:color w:val="0070C0"/>
                <w:sz w:val="20"/>
                <w:szCs w:val="20"/>
              </w:rPr>
              <w:t xml:space="preserve">BLUE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M (Evaluation)</w:t>
            </w:r>
          </w:p>
        </w:tc>
        <w:tc>
          <w:tcPr>
            <w:tcW w:type="dxa" w:w="4560"/>
            <w:tcBorders>
              <w:top w:val="single" w:color="CCCCCC" w:sz="1"/>
              <w:left w:val="single" w:color="CCCCCC" w:sz="1"/>
              <w:bottom w:val="single" w:color="CCCCCC" w:sz="1"/>
              <w:right w:val="single" w:color="CCCCCC" w:sz="1"/>
            </w:tcBorders>
          </w:tcPr>
          <w:p>
            <w:r>
              <w:rPr>
                <w:sz w:val="20"/>
                <w:szCs w:val="20"/>
              </w:rPr>
              <w:t xml:space="preserve">How proposal will be scored - criteria, weights</w:t>
            </w:r>
          </w:p>
        </w:tc>
      </w:tr>
      <w:tr>
        <w:tc>
          <w:tcPr>
            <w:tcW w:type="dxa" w:w="1800"/>
            <w:tcBorders>
              <w:top w:val="single" w:color="CCCCCC" w:sz="1"/>
              <w:left w:val="single" w:color="CCCCCC" w:sz="1"/>
              <w:bottom w:val="single" w:color="CCCCCC" w:sz="1"/>
              <w:right w:val="single" w:color="CCCCCC" w:sz="1"/>
            </w:tcBorders>
          </w:tcPr>
          <w:p>
            <w:r>
              <w:rPr>
                <w:b/>
                <w:bCs/>
                <w:color w:val="7030A0"/>
                <w:sz w:val="20"/>
                <w:szCs w:val="20"/>
              </w:rPr>
              <w:t xml:space="preserve">PURPLE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C/PWS/SOW</w:t>
            </w:r>
          </w:p>
        </w:tc>
        <w:tc>
          <w:tcPr>
            <w:tcW w:type="dxa" w:w="4560"/>
            <w:tcBorders>
              <w:top w:val="single" w:color="CCCCCC" w:sz="1"/>
              <w:left w:val="single" w:color="CCCCCC" w:sz="1"/>
              <w:bottom w:val="single" w:color="CCCCCC" w:sz="1"/>
              <w:right w:val="single" w:color="CCCCCC" w:sz="1"/>
            </w:tcBorders>
          </w:tcPr>
          <w:p>
            <w:r>
              <w:rPr>
                <w:sz w:val="20"/>
                <w:szCs w:val="20"/>
              </w:rPr>
              <w:t xml:space="preserve">What to do - technical requirements, scope</w:t>
            </w:r>
          </w:p>
        </w:tc>
      </w:tr>
      <w:tr>
        <w:tc>
          <w:tcPr>
            <w:tcW w:type="dxa" w:w="1800"/>
            <w:tcBorders>
              <w:top w:val="single" w:color="CCCCCC" w:sz="1"/>
              <w:left w:val="single" w:color="CCCCCC" w:sz="1"/>
              <w:bottom w:val="single" w:color="CCCCCC" w:sz="1"/>
              <w:right w:val="single" w:color="CCCCCC" w:sz="1"/>
            </w:tcBorders>
          </w:tcPr>
          <w:p>
            <w:r>
              <w:rPr>
                <w:b/>
                <w:bCs/>
                <w:color w:val="00B050"/>
                <w:sz w:val="20"/>
                <w:szCs w:val="20"/>
              </w:rPr>
              <w:t xml:space="preserve">GREEN</w:t>
            </w:r>
          </w:p>
        </w:tc>
        <w:tc>
          <w:tcPr>
            <w:tcW w:type="dxa" w:w="3000"/>
            <w:tcBorders>
              <w:top w:val="single" w:color="CCCCCC" w:sz="1"/>
              <w:left w:val="single" w:color="CCCCCC" w:sz="1"/>
              <w:bottom w:val="single" w:color="CCCCCC" w:sz="1"/>
              <w:right w:val="single" w:color="CCCCCC" w:sz="1"/>
            </w:tcBorders>
          </w:tcPr>
          <w:p>
            <w:r>
              <w:rPr>
                <w:sz w:val="20"/>
                <w:szCs w:val="20"/>
              </w:rPr>
              <w:t xml:space="preserve">Win Themes</w:t>
            </w:r>
          </w:p>
        </w:tc>
        <w:tc>
          <w:tcPr>
            <w:tcW w:type="dxa" w:w="4560"/>
            <w:tcBorders>
              <w:top w:val="single" w:color="CCCCCC" w:sz="1"/>
              <w:left w:val="single" w:color="CCCCCC" w:sz="1"/>
              <w:bottom w:val="single" w:color="CCCCCC" w:sz="1"/>
              <w:right w:val="single" w:color="CCCCCC" w:sz="1"/>
            </w:tcBorders>
          </w:tcPr>
          <w:p>
            <w:r>
              <w:rPr>
                <w:sz w:val="20"/>
                <w:szCs w:val="20"/>
              </w:rPr>
              <w:t xml:space="preserve">Discriminators and key messages to emphasize</w:t>
            </w:r>
          </w:p>
        </w:tc>
      </w:tr>
      <w:tr>
        <w:tc>
          <w:tcPr>
            <w:tcW w:type="dxa" w:w="1800"/>
            <w:tcBorders>
              <w:top w:val="single" w:color="CCCCCC" w:sz="1"/>
              <w:left w:val="single" w:color="CCCCCC" w:sz="1"/>
              <w:bottom w:val="single" w:color="CCCCCC" w:sz="1"/>
              <w:right w:val="single" w:color="CCCCCC" w:sz="1"/>
            </w:tcBorders>
          </w:tcPr>
          <w:p>
            <w:r>
              <w:rPr>
                <w:b/>
                <w:bCs/>
                <w:color w:val="ED7D31"/>
                <w:sz w:val="20"/>
                <w:szCs w:val="20"/>
              </w:rPr>
              <w:t xml:space="preserve">ORANGE</w:t>
            </w:r>
          </w:p>
        </w:tc>
        <w:tc>
          <w:tcPr>
            <w:tcW w:type="dxa" w:w="3000"/>
            <w:tcBorders>
              <w:top w:val="single" w:color="CCCCCC" w:sz="1"/>
              <w:left w:val="single" w:color="CCCCCC" w:sz="1"/>
              <w:bottom w:val="single" w:color="CCCCCC" w:sz="1"/>
              <w:right w:val="single" w:color="CCCCCC" w:sz="1"/>
            </w:tcBorders>
          </w:tcPr>
          <w:p>
            <w:r>
              <w:rPr>
                <w:sz w:val="20"/>
                <w:szCs w:val="20"/>
              </w:rPr>
              <w:t xml:space="preserve">Proof Points</w:t>
            </w:r>
          </w:p>
        </w:tc>
        <w:tc>
          <w:tcPr>
            <w:tcW w:type="dxa" w:w="4560"/>
            <w:tcBorders>
              <w:top w:val="single" w:color="CCCCCC" w:sz="1"/>
              <w:left w:val="single" w:color="CCCCCC" w:sz="1"/>
              <w:bottom w:val="single" w:color="CCCCCC" w:sz="1"/>
              <w:right w:val="single" w:color="CCCCCC" w:sz="1"/>
            </w:tcBorders>
          </w:tcPr>
          <w:p>
            <w:r>
              <w:rPr>
                <w:sz w:val="20"/>
                <w:szCs w:val="20"/>
              </w:rPr>
              <w:t xml:space="preserve">Evidence needed - past performance, metrics, certs</w:t>
            </w:r>
          </w:p>
        </w:tc>
      </w:tr>
      <w:tr>
        <w:tc>
          <w:tcPr>
            <w:tcW w:type="dxa" w:w="1800"/>
            <w:tcBorders>
              <w:top w:val="single" w:color="CCCCCC" w:sz="1"/>
              <w:left w:val="single" w:color="CCCCCC" w:sz="1"/>
              <w:bottom w:val="single" w:color="CCCCCC" w:sz="1"/>
              <w:right w:val="single" w:color="CCCCCC" w:sz="1"/>
            </w:tcBorders>
          </w:tcPr>
          <w:p>
            <w:r>
              <w:rPr>
                <w:b/>
                <w:bCs/>
                <w:color w:val="5B9BD5"/>
                <w:sz w:val="20"/>
                <w:szCs w:val="20"/>
              </w:rPr>
              <w:t xml:space="preserve">BLUE-GRAY</w:t>
            </w:r>
          </w:p>
        </w:tc>
        <w:tc>
          <w:tcPr>
            <w:tcW w:type="dxa" w:w="3000"/>
            <w:tcBorders>
              <w:top w:val="single" w:color="CCCCCC" w:sz="1"/>
              <w:left w:val="single" w:color="CCCCCC" w:sz="1"/>
              <w:bottom w:val="single" w:color="CCCCCC" w:sz="1"/>
              <w:right w:val="single" w:color="CCCCCC" w:sz="1"/>
            </w:tcBorders>
          </w:tcPr>
          <w:p>
            <w:r>
              <w:rPr>
                <w:sz w:val="20"/>
                <w:szCs w:val="20"/>
              </w:rPr>
              <w:t xml:space="preserve">Graphics</w:t>
            </w:r>
          </w:p>
        </w:tc>
        <w:tc>
          <w:tcPr>
            <w:tcW w:type="dxa" w:w="4560"/>
            <w:tcBorders>
              <w:top w:val="single" w:color="CCCCCC" w:sz="1"/>
              <w:left w:val="single" w:color="CCCCCC" w:sz="1"/>
              <w:bottom w:val="single" w:color="CCCCCC" w:sz="1"/>
              <w:right w:val="single" w:color="CCCCCC" w:sz="1"/>
            </w:tcBorders>
          </w:tcPr>
          <w:p>
            <w:r>
              <w:rPr>
                <w:sz w:val="20"/>
                <w:szCs w:val="20"/>
              </w:rPr>
              <w:t xml:space="preserve">Planned visuals with action captions</w:t>
            </w:r>
          </w:p>
        </w:tc>
      </w:tr>
    </w:tbl>
    <w:p>
      <w:pPr>
        <w:spacing w:after="300"/>
      </w:pPr>
    </w:p>
    <w:p>
      <w:pPr>
        <w:pStyle w:val="Heading1"/>
      </w:pPr>
      <w:r>
        <w:t xml:space="preserve">EVALUATION FACTORS SUMMARY</w:t>
      </w:r>
    </w:p>
    <w:p>
      <w:pPr>
        <w:spacing w:after="200"/>
      </w:pPr>
      <w:r>
        <w:rPr>
          <w:color w:val="0070C0"/>
          <w:sz w:val="20"/>
          <w:szCs w:val="20"/>
        </w:rPr>
        <w:t xml:space="preserve">Understanding how the proposal will be scored is critical. Structure content to directly address each evaluation factor.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Factor</w:t>
            </w:r>
          </w:p>
        </w:tc>
        <w:tc>
          <w:tcPr>
            <w:tcW w:type="dxa" w:w="150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Weight</w:t>
            </w:r>
          </w:p>
        </w:tc>
        <w:tc>
          <w:tcPr>
            <w:tcW w:type="dxa" w:w="506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Key Criteria</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1: Experience</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2: Program and Project Management</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bl>
    <w:p>
      <w:pPr>
        <w:pStyle w:val="Heading2"/>
      </w:pPr>
      <w:r>
        <w:t xml:space="preserve">Adjectival Rating Definitions</w:t>
      </w:r>
    </w:p>
    <w:p>
      <w:pPr>
        <w:spacing w:after="120"/>
      </w:pPr>
      <w:r>
        <w:rPr>
          <w:color w:val="0070C0"/>
          <w:sz w:val="20"/>
          <w:szCs w:val="20"/>
        </w:rPr>
        <w:t xml:space="preserve">Understanding the rating scale is essential for targeting Exceptional ratings on key factors.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070C0" w:sz="1"/>
              <w:left w:val="single" w:color="0070C0" w:sz="1"/>
              <w:bottom w:val="single" w:color="0070C0" w:sz="1"/>
              <w:right w:val="single" w:color="0070C0" w:sz="1"/>
            </w:tcBorders>
            <w:shd w:fill="0070C0" w:val="clear"/>
          </w:tcPr>
          <w:p>
            <w:r>
              <w:rPr>
                <w:b/>
                <w:bCs/>
                <w:color w:val="FFFFFF"/>
                <w:sz w:val="20"/>
                <w:szCs w:val="20"/>
              </w:rPr>
              <w:t xml:space="preserve">Rating</w:t>
            </w:r>
          </w:p>
        </w:tc>
        <w:tc>
          <w:tcPr>
            <w:tcW w:type="dxa" w:w="7360"/>
            <w:tcBorders>
              <w:top w:val="single" w:color="0070C0" w:sz="1"/>
              <w:left w:val="single" w:color="0070C0" w:sz="1"/>
              <w:bottom w:val="single" w:color="0070C0" w:sz="1"/>
              <w:right w:val="single" w:color="0070C0" w:sz="1"/>
            </w:tcBorders>
            <w:shd w:fill="0070C0" w:val="clear"/>
          </w:tcPr>
          <w:p>
            <w:r>
              <w:rPr>
                <w:b/>
                <w:bCs/>
                <w:color w:val="FFFFFF"/>
                <w:sz w:val="20"/>
                <w:szCs w:val="20"/>
              </w:rPr>
              <w:t xml:space="preserve">Definition</w:t>
            </w:r>
          </w:p>
        </w:tc>
      </w:tr>
      <w:tr>
        <w:tc>
          <w:tcPr>
            <w:tcW w:type="dxa" w:w="2000"/>
            <w:tcBorders>
              <w:top w:val="single" w:color="0070C0" w:sz="1"/>
              <w:left w:val="single" w:color="0070C0" w:sz="1"/>
              <w:bottom w:val="single" w:color="0070C0" w:sz="1"/>
              <w:right w:val="single" w:color="0070C0" w:sz="1"/>
            </w:tcBorders>
          </w:tcPr>
          <w:p>
            <w:r>
              <w:rPr>
                <w:b/>
                <w:bCs/>
                <w:color w:val="00B050"/>
                <w:sz w:val="20"/>
                <w:szCs w:val="20"/>
              </w:rPr>
              <w:t xml:space="preserve">Exceptional</w:t>
            </w:r>
          </w:p>
        </w:tc>
        <w:tc>
          <w:tcPr>
            <w:tcW w:type="dxa" w:w="7360"/>
            <w:tcBorders>
              <w:top w:val="single" w:color="0070C0" w:sz="1"/>
              <w:left w:val="single" w:color="0070C0" w:sz="1"/>
              <w:bottom w:val="single" w:color="0070C0" w:sz="1"/>
              <w:right w:val="single" w:color="0070C0" w:sz="1"/>
            </w:tcBorders>
          </w:tcPr>
          <w:p>
            <w:r>
              <w:rPr>
                <w:sz w:val="18"/>
                <w:szCs w:val="18"/>
              </w:rPr>
              <w:t xml:space="preserve">– Proposal clearly exceeds minimum requirements, contains multiple strengths and raises government confidence that the Offeror is capable of exceeding expectations.</w:t>
            </w:r>
          </w:p>
        </w:tc>
      </w:tr>
      <w:tr>
        <w:tc>
          <w:tcPr>
            <w:tcW w:type="dxa" w:w="2000"/>
            <w:tcBorders>
              <w:top w:val="single" w:color="0070C0" w:sz="1"/>
              <w:left w:val="single" w:color="0070C0" w:sz="1"/>
              <w:bottom w:val="single" w:color="0070C0" w:sz="1"/>
              <w:right w:val="single" w:color="0070C0" w:sz="1"/>
            </w:tcBorders>
          </w:tcPr>
          <w:p>
            <w:r>
              <w:rPr>
                <w:b/>
                <w:bCs/>
                <w:color w:val="92D050"/>
                <w:sz w:val="20"/>
                <w:szCs w:val="20"/>
              </w:rPr>
              <w:t xml:space="preserve">Very Good</w:t>
            </w:r>
          </w:p>
        </w:tc>
        <w:tc>
          <w:tcPr>
            <w:tcW w:type="dxa" w:w="7360"/>
            <w:tcBorders>
              <w:top w:val="single" w:color="0070C0" w:sz="1"/>
              <w:left w:val="single" w:color="0070C0" w:sz="1"/>
              <w:bottom w:val="single" w:color="0070C0" w:sz="1"/>
              <w:right w:val="single" w:color="0070C0" w:sz="1"/>
            </w:tcBorders>
          </w:tcPr>
          <w:p>
            <w:r>
              <w:rPr>
                <w:sz w:val="18"/>
                <w:szCs w:val="18"/>
              </w:rPr>
              <w:t xml:space="preserve">– Proposal clearly exceeds minimum requirements, contains at least one strength and raises government confidence that the Offeror is capable of exceeding expectations.</w:t>
            </w:r>
          </w:p>
        </w:tc>
      </w:tr>
      <w:tr>
        <w:tc>
          <w:tcPr>
            <w:tcW w:type="dxa" w:w="2000"/>
            <w:tcBorders>
              <w:top w:val="single" w:color="0070C0" w:sz="1"/>
              <w:left w:val="single" w:color="0070C0" w:sz="1"/>
              <w:bottom w:val="single" w:color="0070C0" w:sz="1"/>
              <w:right w:val="single" w:color="0070C0" w:sz="1"/>
            </w:tcBorders>
          </w:tcPr>
          <w:p>
            <w:r>
              <w:rPr>
                <w:b/>
                <w:bCs/>
                <w:color w:val="FFC000"/>
                <w:sz w:val="20"/>
                <w:szCs w:val="20"/>
              </w:rPr>
              <w:t xml:space="preserve">Good</w:t>
            </w:r>
          </w:p>
        </w:tc>
        <w:tc>
          <w:tcPr>
            <w:tcW w:type="dxa" w:w="7360"/>
            <w:tcBorders>
              <w:top w:val="single" w:color="0070C0" w:sz="1"/>
              <w:left w:val="single" w:color="0070C0" w:sz="1"/>
              <w:bottom w:val="single" w:color="0070C0" w:sz="1"/>
              <w:right w:val="single" w:color="0070C0" w:sz="1"/>
            </w:tcBorders>
          </w:tcPr>
          <w:p>
            <w:r>
              <w:rPr>
                <w:sz w:val="18"/>
                <w:szCs w:val="18"/>
              </w:rPr>
              <w:t xml:space="preserve">– Proposal clearly meets the minimum requirements of the solicitation and/or raises government confidence that the Offeror is capable of meeting expectations.</w:t>
            </w:r>
          </w:p>
        </w:tc>
      </w:tr>
      <w:tr>
        <w:tc>
          <w:tcPr>
            <w:tcW w:type="dxa" w:w="2000"/>
            <w:tcBorders>
              <w:top w:val="single" w:color="0070C0" w:sz="1"/>
              <w:left w:val="single" w:color="0070C0" w:sz="1"/>
              <w:bottom w:val="single" w:color="0070C0" w:sz="1"/>
              <w:right w:val="single" w:color="0070C0" w:sz="1"/>
            </w:tcBorders>
          </w:tcPr>
          <w:p>
            <w:r>
              <w:rPr>
                <w:b/>
                <w:bCs/>
                <w:color w:val="C00000"/>
                <w:sz w:val="20"/>
                <w:szCs w:val="20"/>
              </w:rPr>
              <w:t xml:space="preserve">Unacceptable</w:t>
            </w:r>
          </w:p>
        </w:tc>
        <w:tc>
          <w:tcPr>
            <w:tcW w:type="dxa" w:w="7360"/>
            <w:tcBorders>
              <w:top w:val="single" w:color="0070C0" w:sz="1"/>
              <w:left w:val="single" w:color="0070C0" w:sz="1"/>
              <w:bottom w:val="single" w:color="0070C0" w:sz="1"/>
              <w:right w:val="single" w:color="0070C0" w:sz="1"/>
            </w:tcBorders>
          </w:tcPr>
          <w:p>
            <w:r>
              <w:rPr>
                <w:sz w:val="18"/>
                <w:szCs w:val="18"/>
              </w:rPr>
              <w:t xml:space="preserve">– Proposal does not clearly meet the minimum requirements of the solicitation and/or lowers government confidence that the Offeror is capable of meeting expectations.</w:t>
            </w:r>
          </w:p>
        </w:tc>
      </w:tr>
    </w:tbl>
    <w:p>
      <w:pPr>
        <w:spacing w:after="200"/>
      </w:pPr>
    </w:p>
    <w:p>
      <w:r>
        <w:br w:type="page"/>
      </w:r>
    </w:p>
    <w:p>
      <w:pPr>
        <w:pStyle w:val="Heading1"/>
      </w:pPr>
      <w:r>
        <w:t xml:space="preserve">VOLUME 1: TECHNICAL PROPOSAL</w:t>
      </w:r>
    </w:p>
    <w:p>
      <w:pPr>
        <w:spacing w:after="120"/>
      </w:pPr>
      <w:r>
        <w:rPr>
          <w:b/>
          <w:bCs/>
          <w:sz w:val="22"/>
          <w:szCs w:val="22"/>
        </w:rPr>
        <w:t xml:space="preserve">Page Limit: </w:t>
      </w:r>
      <w:r>
        <w:rPr>
          <w:color w:val="C00000"/>
          <w:sz w:val="22"/>
          <w:szCs w:val="22"/>
        </w:rPr>
        <w:t xml:space="preserve">No limit specified</w:t>
      </w:r>
    </w:p>
    <w:p>
      <w:pPr>
        <w:spacing w:after="200"/>
      </w:pPr>
      <w:r>
        <w:rPr>
          <w:b/>
          <w:bCs/>
          <w:color w:val="0070C0"/>
          <w:sz w:val="22"/>
          <w:szCs w:val="22"/>
        </w:rPr>
        <w:t xml:space="preserve">Evaluation Factors: </w:t>
      </w:r>
      <w:r>
        <w:rPr>
          <w:color w:val="0070C0"/>
          <w:sz w:val="22"/>
          <w:szCs w:val="22"/>
        </w:rPr>
        <w:t xml:space="preserve">Factor 2: Program and Project Management</w:t>
      </w:r>
    </w:p>
    <w:p>
      <w:pPr>
        <w:pStyle w:val="Heading2"/>
      </w:pPr>
      <w:r>
        <w:t xml:space="preserve">SEC-F1. Factor 1: Experience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Executive Summary and Technical Volume .................................................................................... 6 
1.1 Executive Summary ......................................................................................................................... 7 
1.2 Sub Factor 1: Management Approach ............................................................................................. 7 
1.3 Sub Factor 2: Infrastructure Approach ................................................................................................... 8</w:t>
            </w:r>
          </w:p>
          <w:p>
            <w:pPr>
              <w:pStyle w:val="ListParagraph"/>
              <w:numPr>
                <w:ilvl w:val="0"/>
                <w:numId w:val="2"/>
              </w:numPr>
            </w:pPr>
            <w:r>
              <w:rPr>
                <w:i w:val="false"/>
                <w:iCs w:val="false"/>
                <w:color w:val="000000"/>
                <w:sz w:val="20"/>
                <w:szCs w:val="20"/>
              </w:rPr>
              <w:t xml:space="preserve">[REQ] 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[REQ] Executive Summary and Technical Volume .................................................................................... 6 
1.1 Executive Summary ......................................................................................................................... 7 
1.2 Sub Factor 1: Management Approach ............................................................................................. 7 
1.3 Sub Factor 2: Infrastructure Approach ................................................................................................... 8</w:t>
            </w:r>
          </w:p>
          <w:p>
            <w:pPr>
              <w:pStyle w:val="ListParagraph"/>
              <w:numPr>
                <w:ilvl w:val="0"/>
                <w:numId w:val="2"/>
              </w:numPr>
            </w:pPr>
            <w:r>
              <w:rPr>
                <w:i w:val="false"/>
                <w:iCs w:val="false"/>
                <w:color w:val="000000"/>
                <w:sz w:val="20"/>
                <w:szCs w:val="20"/>
              </w:rPr>
              <w:t xml:space="preserve">[REQ] 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[REQ] Instruction: The offeror shall provide a detailed staff training and certification plan and include 
any potential risks along with their associated mitigation factors.  The plan should address the 
offeror’s strategy to train and certify personnel to maintain 24/7 crew operations.  The approach 
should address how the offeror plans to obtain cleared personnel in the Vandenberg SFB area, 
retraining of personnel and any prior experience hiring in the area.  The offeror shall also provide 
a detailed ramp up and transition plan.</w:t>
            </w:r>
          </w:p>
          <w:p>
            <w:pPr>
              <w:pStyle w:val="ListParagraph"/>
              <w:numPr>
                <w:ilvl w:val="0"/>
                <w:numId w:val="2"/>
              </w:numPr>
            </w:pPr>
            <w:r>
              <w:rPr>
                <w:i w:val="false"/>
                <w:iCs w:val="false"/>
                <w:color w:val="000000"/>
                <w:sz w:val="20"/>
                <w:szCs w:val="20"/>
              </w:rPr>
              <w:t xml:space="preserve">[REQ] Instruction: The offeror shall provide a detailed staff training and certification plan and include 
any potential risks along with their associated mitigation factors.  The plan should address the 
offeror’s strategy to train and certify personnel to maintain 24/7 crew operations.  The approach 
should address how the offeror plans to obtain cleared personnel in the Vandenberg SFB area, 
retraining of personnel and any prior experience hiring in the area.  The offeror shall also provide 
a detailed ramp up and transition plan.</w:t>
            </w:r>
          </w:p>
          <w:p>
            <w:pPr>
              <w:pStyle w:val="ListParagraph"/>
              <w:numPr>
                <w:ilvl w:val="0"/>
                <w:numId w:val="2"/>
              </w:numPr>
            </w:pPr>
            <w:r>
              <w:rPr>
                <w:i w:val="false"/>
                <w:iCs w:val="false"/>
                <w:color w:val="000000"/>
                <w:sz w:val="20"/>
                <w:szCs w:val="20"/>
              </w:rPr>
              <w:t xml:space="preserve">[REQ] Instruction: The offeror shall provide a detailed staff training and certification plan and include 
any potential risks along with their associated mitigation factors.  The plan should address the 
offeror’s strategy to train and certify personnel to maintain 24/7 crew operations.  The approach 
should address how the offeror plans to obtain cleared personnel in the Vandenberg SFB area, 
retraining of personnel and any prior experience hiring in the area.  The offeror shall also provide 
a detailed ramp up and transition plan.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SEC-F2. Factor 2: Program and Project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[REQ] 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[REQ] Executive Summary and Technical Volume .................................................................................... 6 
1.1 Executive Summary ......................................................................................................................... 7 
1.2 Sub Factor 1: Management Approach ............................................................................................. 7 
1.3 Sub Factor 2: Infrastructure Approach ................................................................................................... 8</w:t>
            </w:r>
          </w:p>
          <w:p>
            <w:pPr>
              <w:pStyle w:val="ListParagraph"/>
              <w:numPr>
                <w:ilvl w:val="0"/>
                <w:numId w:val="2"/>
              </w:numPr>
            </w:pPr>
            <w:r>
              <w:rPr>
                <w:i w:val="false"/>
                <w:iCs w:val="false"/>
                <w:color w:val="000000"/>
                <w:sz w:val="20"/>
                <w:szCs w:val="20"/>
              </w:rPr>
              <w:t xml:space="preserve">[REQ] Executive Summary and Technical Volume .................................................................................... 6 
1.1 Executive Summary ......................................................................................................................... 7 
1.2 Sub Factor 1: Management Approach ............................................................................................. 7 
1.3 Sub Factor 2: Infrastructure Approach ................................................................................................... 8</w:t>
            </w:r>
          </w:p>
          <w:p>
            <w:pPr>
              <w:pStyle w:val="ListParagraph"/>
              <w:numPr>
                <w:ilvl w:val="0"/>
                <w:numId w:val="2"/>
              </w:numPr>
            </w:pPr>
            <w:r>
              <w:rPr>
                <w:i w:val="false"/>
                <w:iCs w:val="false"/>
                <w:color w:val="000000"/>
                <w:sz w:val="20"/>
                <w:szCs w:val="20"/>
              </w:rPr>
              <w:t xml:space="preserve">[REQ] CUI 
 CUI 10  
2.3.6 The Contractor shall support quarterly, multi-day (nominally three-day), in-person 
Program Increment events in Colorado Springs, Colorado. The location, duration, and 
frequency may change as requested by the SPO. 
2.3.7 The Contractor shall support quarterly, two-week long, in-person test events at operator 
location(s). Initial operator location will be at Vandenberg Space Force Base, CA; 
alternative locations may include, but are not limited to, Dahlgren Naval Support 
Facility, VA and Schriever SFB, CO. The duration and frequency may change as 
requested by the SPO.  
2.3.8 The Contractor shall make their own travel and lodging arrangements and shall ensure all 
required security requirements (e.g., Visit Requests) required for access to installations 
and/or facilities are completed prior to travel.  Compact Cars and Economy seats shall be 
used when available. 
2.3.9 The Contractor shall support meetings with mission partners and stakeholders as needed 
at required classification levels at a minimum Quarterly. 
2.4 Contract Data Requirements List (CDRL) 
2.4.1 The Contractor shall provide the CDRLs identified in Table 2. The SPO will review the 
submission of data per the CDRL prior to acceptance, acceptance criteria will include 
verification of appropriate intellectual property markings. 
Table 2: Contract Data Requirements List 
# CDRL Frequency 
A001 Cost Funds Status Report (CFSR) Monthly 
A002 Program Protection Implementation Plan (PPIP) Once 
A003 Data Accession List (DAL) Periodic 
A004 Program Management Review (PMR) Monthly</w:t>
            </w:r>
          </w:p>
          <w:p>
            <w:pPr>
              <w:pStyle w:val="ListParagraph"/>
              <w:numPr>
                <w:ilvl w:val="0"/>
                <w:numId w:val="2"/>
              </w:numPr>
            </w:pPr>
            <w:r>
              <w:rPr>
                <w:i w:val="false"/>
                <w:iCs w:val="false"/>
                <w:color w:val="000000"/>
                <w:sz w:val="20"/>
                <w:szCs w:val="20"/>
              </w:rPr>
              <w:t xml:space="preserve">[REQ] CUI 
 CUI 11  
• Program Management plan, 
• Staffing Plan, 
• Subcontract information, 
• Organizational Conflict of Interest Plan 
2.4.5 A004 PMR shall include content provided within the SPO-provided template. This 
includes, but is not limited to: 
• Internal (execution) product risks,  
• External (dependency) product risks,  
• Metrics,  
• Organizational structure and projected staffing changes that spans a minimum of a 
30-day forecast,  
• Obligation and expenditure status and forecast,  
• Invoice status,  
• Travel projections, and  
• Bill of materials. 
2.6         Associate Contractor Agreements &amp; Other Agreements 
2.4.6 The Contractor shall enter into ACAs with the contractors listed at Vandenberg Space 
Force Base (VSFB) to support cross-project integration for accomplishment of the SPO’s</w:t>
            </w:r>
          </w:p>
          <w:p>
            <w:pPr>
              <w:pStyle w:val="ListParagraph"/>
              <w:numPr>
                <w:ilvl w:val="0"/>
                <w:numId w:val="2"/>
              </w:numPr>
            </w:pPr>
            <w:r>
              <w:rPr>
                <w:i w:val="false"/>
                <w:iCs w:val="false"/>
                <w:color w:val="000000"/>
                <w:sz w:val="20"/>
                <w:szCs w:val="20"/>
              </w:rPr>
              <w:t xml:space="preserve">[REQ] 1.3 Sub Factor 2: Infrastructure Approach 
Instruction: The offeror shall submit an approach for the uninterrupted transfer of responsibility 
facilities, equipment, accounts, documentation, personnel, operation and maintenance functions, 
legacy equipment and all other materials and responsibilities identified in the SOW and bidders</w:t>
            </w:r>
          </w:p>
          <w:p>
            <w:pPr>
              <w:pStyle w:val="ListParagraph"/>
              <w:numPr>
                <w:ilvl w:val="0"/>
                <w:numId w:val="2"/>
              </w:numPr>
            </w:pPr>
            <w:r>
              <w:rPr>
                <w:i w:val="false"/>
                <w:iCs w:val="false"/>
                <w:color w:val="000000"/>
                <w:sz w:val="20"/>
                <w:szCs w:val="20"/>
              </w:rPr>
              <w:t xml:space="preserve">[REQ] 1.3 Sub Factor 2: Infrastructure Approach 
Instruction: The offeror shall submit an approach for the uninterrupted transfer of responsibility 
facilities, equipment, accounts, documentation, personnel, operation and maintenance functions, 
legacy equipment and all other materials and responsibilities identified in the SOW and bidders</w:t>
            </w:r>
          </w:p>
          <w:p>
            <w:pPr>
              <w:pStyle w:val="ListParagraph"/>
              <w:numPr>
                <w:ilvl w:val="0"/>
                <w:numId w:val="2"/>
              </w:numPr>
            </w:pPr>
            <w:r>
              <w:rPr>
                <w:i w:val="false"/>
                <w:iCs w:val="false"/>
                <w:color w:val="000000"/>
                <w:sz w:val="20"/>
                <w:szCs w:val="20"/>
              </w:rPr>
              <w:t xml:space="preserve">[REQ] 1.3 Sub Factor 2: Infrastructure Approach 
Instruction: The offeror shall submit an approach for the uninterrupted transfer of responsibility 
facilities, equipment, accounts, documentation, personnel, operation and maintenance functions, 
legacy equipment and all other materials and responsibilities identified in the SOW and bidders</w:t>
            </w:r>
          </w:p>
          <w:p>
            <w:pPr>
              <w:pStyle w:val="ListParagraph"/>
              <w:numPr>
                <w:ilvl w:val="0"/>
                <w:numId w:val="2"/>
              </w:numPr>
            </w:pPr>
            <w:r>
              <w:rPr>
                <w:i w:val="false"/>
                <w:iCs w:val="false"/>
                <w:color w:val="000000"/>
                <w:sz w:val="20"/>
                <w:szCs w:val="20"/>
              </w:rPr>
              <w:t xml:space="preserve">[REQ] CUI 
 CUI 8  
2 Program Management 
2.1 General 
2.1.1 The Contractor shall provide program management and staffing resources necessary to 
plan, manage, direct, control, and report on all activities contributing to requirements 
identified herein. 
2.1.2 The Contractor shall utilize government-furnished communication tools to include, but 
not limited to: Google Electronic Mail (e-mail) (Impact Level (IL)-4 e-mail), Microsoft 
(MS) Teams, Mattermost, Jira, Jira Align, and Confluence. 
2.1.3 The Contractor shall utilize government-furnished common services identified within the 
current Service Description Document managed via the Space C2 Configuration 
Management Board (CMB). Exceptions to use of specified common services shall be 
approved by the Government. 
2.1.4 The Contractor shall maintain awareness of the Space C2 Development Teams 
implementation of a Development, Security, and Operations (DevSecOps) approach as 
managed by the Space C2 CMB. 
2.1.5 The Contractor shall proactively support collaborative root cause analysis and 
incorporate results in future processes, tooling, instrumentation, procedural changes, 
and/or software development to minimize reoccurrence of cyber, operational, and/or 
development disruptions. 
2.1.6 The Contractor shall provide contract status information for SPO management purposes.  
This includes SPO level reviews, executive reviews, independent program reviews and 
assessments, inspections, milestone events, budget excursions, and user conferences. 
2.1.7 The Contractor shall define conditions and process in writing for notifying the SPO of 
significant events to include security violations, cyber/network intrusions, criminal 
investigations, adverse financial and schedule information, and mishap reports regarding 
hardware or personnel. The contractor shall report significant events to the Government 
Lead, or their designee, within 24 hours of the event.  
2.1.8 The Contractor shall notify the Government Lead, or their designee, of Government 
Senior Leadership or other stakeholder program visits as well as program media</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2: BUSINESS PROPOSAL</w:t>
      </w:r>
    </w:p>
    <w:p>
      <w:pPr>
        <w:spacing w:after="120"/>
      </w:pPr>
      <w:r>
        <w:rPr>
          <w:b/>
          <w:bCs/>
          <w:sz w:val="22"/>
          <w:szCs w:val="22"/>
        </w:rPr>
        <w:t xml:space="preserve">Page Limit: </w:t>
      </w:r>
      <w:r>
        <w:rPr>
          <w:color w:val="C00000"/>
          <w:sz w:val="22"/>
          <w:szCs w:val="22"/>
        </w:rPr>
        <w:t xml:space="preserve">No limit specified</w:t>
      </w:r>
    </w:p>
    <w:p>
      <w:pPr>
        <w:pStyle w:val="Heading2"/>
      </w:pPr>
      <w:r>
        <w:t xml:space="preserve">1. Executive Summary</w:t>
      </w:r>
    </w:p>
    <w:p>
      <w:pPr>
        <w:spacing w:after="120"/>
      </w:pPr>
      <w:r>
        <w:rPr>
          <w:i/>
          <w:iCs/>
          <w:color w:val="404040"/>
          <w:sz w:val="20"/>
          <w:szCs w:val="20"/>
        </w:rPr>
        <w:t xml:space="preserve">High-level overview demonstrating understanding and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2. Technical Approach</w:t>
      </w:r>
    </w:p>
    <w:p>
      <w:pPr>
        <w:spacing w:after="120"/>
      </w:pPr>
      <w:r>
        <w:rPr>
          <w:i/>
          <w:iCs/>
          <w:color w:val="404040"/>
          <w:sz w:val="20"/>
          <w:szCs w:val="20"/>
        </w:rPr>
        <w:t xml:space="preserve">Detailed methodology and solution design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3. Management Approach</w:t>
      </w:r>
    </w:p>
    <w:p>
      <w:pPr>
        <w:spacing w:after="120"/>
      </w:pPr>
      <w:r>
        <w:rPr>
          <w:i/>
          <w:iCs/>
          <w:color w:val="404040"/>
          <w:sz w:val="20"/>
          <w:szCs w:val="20"/>
        </w:rPr>
        <w:t xml:space="preserve">Project management, staffing, quality assurance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4. Past Performance</w:t>
      </w:r>
    </w:p>
    <w:p>
      <w:pPr>
        <w:spacing w:after="120"/>
      </w:pPr>
      <w:r>
        <w:rPr>
          <w:i/>
          <w:iCs/>
          <w:color w:val="404040"/>
          <w:sz w:val="20"/>
          <w:szCs w:val="20"/>
        </w:rPr>
        <w:t xml:space="preserve">Relevant experience and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5. Staffing Plan</w:t>
      </w:r>
    </w:p>
    <w:p>
      <w:pPr>
        <w:spacing w:after="120"/>
      </w:pPr>
      <w:r>
        <w:rPr>
          <w:i/>
          <w:iCs/>
          <w:color w:val="404040"/>
          <w:sz w:val="20"/>
          <w:szCs w:val="20"/>
        </w:rPr>
        <w:t xml:space="preserve">Key personnel qualifications and org chart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1"/>
        <w:pageBreakBefore/>
      </w:pPr>
      <w:r>
        <w:t xml:space="preserve">VOLUME 3: CONTRACT DOCUMENTATION VOLUME</w:t>
      </w:r>
    </w:p>
    <w:p>
      <w:pPr>
        <w:spacing w:after="120"/>
      </w:pPr>
      <w:r>
        <w:rPr>
          <w:b/>
          <w:bCs/>
          <w:sz w:val="22"/>
          <w:szCs w:val="22"/>
        </w:rPr>
        <w:t xml:space="preserve">Page Limit: </w:t>
      </w:r>
      <w:r>
        <w:rPr>
          <w:color w:val="C00000"/>
          <w:sz w:val="22"/>
          <w:szCs w:val="22"/>
        </w:rPr>
        <w:t xml:space="preserve">No limit specified</w:t>
      </w:r>
    </w:p>
    <w:p>
      <w:pPr>
        <w:pStyle w:val="Heading2"/>
      </w:pPr>
      <w:r>
        <w:t xml:space="preserve">V3-FORMS. Mandatory Forms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V3-CERTS. Certifications and Representations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FAR 52.204-7 Online Representations</w:t>
            </w:r>
          </w:p>
          <w:p>
            <w:pPr>
              <w:pStyle w:val="ListParagraph"/>
              <w:numPr>
                <w:ilvl w:val="0"/>
                <w:numId w:val="2"/>
              </w:numPr>
            </w:pPr>
            <w:r>
              <w:rPr>
                <w:i w:val="false"/>
                <w:iCs w:val="false"/>
                <w:color w:val="000000"/>
                <w:sz w:val="20"/>
                <w:szCs w:val="20"/>
              </w:rPr>
              <w:t xml:space="preserve">Agency-specific certifications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3: CONTRACT DOCUMENTATION</w:t>
      </w:r>
    </w:p>
    <w:p>
      <w:pPr>
        <w:pBdr>
          <w:left w:val="single" w:color="C00000" w:sz="12"/>
        </w:pBdr>
        <w:shd w:fill="FCE4D6" w:val="clear"/>
        <w:spacing w:after="120"/>
        <w:ind w:left="180"/>
      </w:pPr>
      <w:r>
        <w:rPr>
          <w:b/>
          <w:bCs/>
          <w:color w:val="C00000"/>
          <w:sz w:val="20"/>
          <w:szCs w:val="20"/>
        </w:rPr>
        <w:t xml:space="preserve">PASS/FAIL: All items in this volume are mandatory. Missing or incomplete documents may result in proposal rejection.</w:t>
      </w:r>
    </w:p>
    <w:p>
      <w:pPr>
        <w:pStyle w:val="Heading2"/>
      </w:pPr>
      <w:r>
        <w:t xml:space="preserve">Mandatory Forms and Certifications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000"/>
        <w:gridCol w:w="1600"/>
        <w:gridCol w:w="1060"/>
      </w:tblGrid>
      <w:tr>
        <w:trPr>
          <w:tblHeader/>
        </w:trPr>
        <w:tc>
          <w:tcPr>
            <w:tcW w:type="dxa" w:w="500"/>
            <w:tcBorders>
              <w:top w:val="single" w:color="666666" w:sz="1"/>
              <w:left w:val="single" w:color="666666" w:sz="1"/>
              <w:bottom w:val="single" w:color="666666" w:sz="1"/>
              <w:right w:val="single" w:color="666666" w:sz="1"/>
            </w:tcBorders>
            <w:shd w:fill="D5D5D5" w:val="clear"/>
          </w:tcPr>
          <w:p>
            <w:pPr>
              <w:jc w:val="center"/>
            </w:pPr>
            <w:r>
              <w:rPr>
                <w:b/>
                <w:bCs/>
                <w:sz w:val="20"/>
                <w:szCs w:val="20"/>
              </w:rPr>
              <w:t xml:space="preserve">✓</w:t>
            </w:r>
          </w:p>
        </w:tc>
        <w:tc>
          <w:tcPr>
            <w:tcW w:type="dxa" w:w="2200"/>
            <w:tcBorders>
              <w:top w:val="single" w:color="666666" w:sz="1"/>
              <w:left w:val="single" w:color="666666" w:sz="1"/>
              <w:bottom w:val="single" w:color="666666" w:sz="1"/>
              <w:right w:val="single" w:color="666666" w:sz="1"/>
            </w:tcBorders>
            <w:shd w:fill="D5D5D5" w:val="clear"/>
          </w:tcPr>
          <w:p>
            <w:r>
              <w:rPr>
                <w:b/>
                <w:bCs/>
                <w:sz w:val="20"/>
                <w:szCs w:val="20"/>
              </w:rPr>
              <w:t xml:space="preserve">Document</w:t>
            </w:r>
          </w:p>
        </w:tc>
        <w:tc>
          <w:tcPr>
            <w:tcW w:type="dxa" w:w="4000"/>
            <w:tcBorders>
              <w:top w:val="single" w:color="666666" w:sz="1"/>
              <w:left w:val="single" w:color="666666" w:sz="1"/>
              <w:bottom w:val="single" w:color="666666" w:sz="1"/>
              <w:right w:val="single" w:color="666666" w:sz="1"/>
            </w:tcBorders>
            <w:shd w:fill="D5D5D5" w:val="clear"/>
          </w:tcPr>
          <w:p>
            <w:r>
              <w:rPr>
                <w:b/>
                <w:bCs/>
                <w:sz w:val="20"/>
                <w:szCs w:val="20"/>
              </w:rPr>
              <w:t xml:space="preserve">Description / Instructions</w:t>
            </w:r>
          </w:p>
        </w:tc>
        <w:tc>
          <w:tcPr>
            <w:tcW w:type="dxa" w:w="1600"/>
            <w:tcBorders>
              <w:top w:val="single" w:color="666666" w:sz="1"/>
              <w:left w:val="single" w:color="666666" w:sz="1"/>
              <w:bottom w:val="single" w:color="666666" w:sz="1"/>
              <w:right w:val="single" w:color="666666" w:sz="1"/>
            </w:tcBorders>
            <w:shd w:fill="D5D5D5" w:val="clear"/>
          </w:tcPr>
          <w:p>
            <w:r>
              <w:rPr>
                <w:b/>
                <w:bCs/>
                <w:sz w:val="20"/>
                <w:szCs w:val="20"/>
              </w:rPr>
              <w:t xml:space="preserve">Reference</w:t>
            </w:r>
          </w:p>
        </w:tc>
        <w:tc>
          <w:tcPr>
            <w:tcW w:type="dxa" w:w="1060"/>
            <w:tcBorders>
              <w:top w:val="single" w:color="666666" w:sz="1"/>
              <w:left w:val="single" w:color="666666" w:sz="1"/>
              <w:bottom w:val="single" w:color="666666" w:sz="1"/>
              <w:right w:val="single" w:color="666666" w:sz="1"/>
            </w:tcBorders>
            <w:shd w:fill="D5D5D5" w:val="clear"/>
          </w:tcPr>
          <w:p>
            <w:r>
              <w:rPr>
                <w:b/>
                <w:bCs/>
                <w:sz w:val="20"/>
                <w:szCs w:val="20"/>
              </w:rPr>
              <w:t xml:space="preserve">Status</w:t>
            </w:r>
          </w:p>
        </w:tc>
      </w:tr>
      <w:tr>
        <w:tc>
          <w:tcPr>
            <w:tcW w:type="dxa" w:w="500"/>
            <w:tcBorders>
              <w:top w:val="single" w:color="666666" w:sz="1"/>
              <w:left w:val="single" w:color="666666" w:sz="1"/>
              <w:bottom w:val="single" w:color="666666" w:sz="1"/>
              <w:right w:val="single" w:color="666666" w:sz="1"/>
            </w:tcBorders>
          </w:tcPr>
          <w:p>
            <w:pPr>
              <w:jc w:val="center"/>
            </w:pPr>
            <w:r>
              <w:rPr>
                <w:sz w:val="24"/>
                <w:szCs w:val="24"/>
              </w:rPr>
              <w:t xml:space="preserve">☐</w:t>
            </w:r>
          </w:p>
        </w:tc>
        <w:tc>
          <w:tcPr>
            <w:tcW w:type="dxa" w:w="2200"/>
            <w:tcBorders>
              <w:top w:val="single" w:color="666666" w:sz="1"/>
              <w:left w:val="single" w:color="666666" w:sz="1"/>
              <w:bottom w:val="single" w:color="666666" w:sz="1"/>
              <w:right w:val="single" w:color="666666" w:sz="1"/>
            </w:tcBorders>
          </w:tcPr>
          <w:p>
            <w:r>
              <w:rPr>
                <w:b/>
                <w:bCs/>
                <w:sz w:val="18"/>
                <w:szCs w:val="18"/>
              </w:rPr>
              <w:t xml:space="preserve">Representations and Certifications</w:t>
            </w:r>
            <w:r>
              <w:rPr>
                <w:color w:val="C00000"/>
                <w:sz w:val="16"/>
                <w:szCs w:val="16"/>
              </w:rPr>
              <w:t xml:space="preserve"> [P/F]</w:t>
            </w:r>
          </w:p>
        </w:tc>
        <w:tc>
          <w:tcPr>
            <w:tcW w:type="dxa" w:w="4000"/>
            <w:tcBorders>
              <w:top w:val="single" w:color="666666" w:sz="1"/>
              <w:left w:val="single" w:color="666666" w:sz="1"/>
              <w:bottom w:val="single" w:color="666666" w:sz="1"/>
              <w:right w:val="single" w:color="666666" w:sz="1"/>
            </w:tcBorders>
          </w:tcPr>
          <w:p>
            <w:r>
              <w:rPr>
                <w:sz w:val="18"/>
                <w:szCs w:val="18"/>
              </w:rPr>
              <w:t xml:space="preserve">Completed certifications per solicitation</w:t>
            </w:r>
          </w:p>
        </w:tc>
        <w:tc>
          <w:tcPr>
            <w:tcW w:type="dxa" w:w="1600"/>
            <w:tcBorders>
              <w:top w:val="single" w:color="666666" w:sz="1"/>
              <w:left w:val="single" w:color="666666" w:sz="1"/>
              <w:bottom w:val="single" w:color="666666" w:sz="1"/>
              <w:right w:val="single" w:color="666666" w:sz="1"/>
            </w:tcBorders>
          </w:tcPr>
          <w:p>
            <w:r>
              <w:rPr>
                <w:color w:val="0070C0"/>
                <w:sz w:val="18"/>
                <w:szCs w:val="18"/>
              </w:rPr>
            </w:r>
          </w:p>
        </w:tc>
        <w:tc>
          <w:tcPr>
            <w:tcW w:type="dxa" w:w="1060"/>
            <w:tcBorders>
              <w:top w:val="single" w:color="666666" w:sz="1"/>
              <w:left w:val="single" w:color="666666" w:sz="1"/>
              <w:bottom w:val="single" w:color="666666" w:sz="1"/>
              <w:right w:val="single" w:color="666666" w:sz="1"/>
            </w:tcBorders>
          </w:tcPr>
          <w:p>
            <w:r>
              <w:rPr>
                <w:i/>
                <w:iCs/>
                <w:color w:val="404040"/>
                <w:sz w:val="16"/>
                <w:szCs w:val="16"/>
              </w:rPr>
              <w:t xml:space="preserve">Pending</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VOLUME 3 COMPLETION CHECKLIST</w:t>
            </w:r>
          </w:p>
          <w:p>
            <w:pPr>
              <w:pStyle w:val="ListParagraph"/>
              <w:numPr>
                <w:ilvl w:val="0"/>
                <w:numId w:val="2"/>
              </w:numPr>
            </w:pPr>
            <w:r>
              <w:rPr>
                <w:i w:val="false"/>
                <w:iCs w:val="false"/>
                <w:color w:val="000000"/>
                <w:sz w:val="20"/>
                <w:szCs w:val="20"/>
              </w:rPr>
              <w:t xml:space="preserve">☐ SF1449 - Completed with all required fields (Blocks 12-17)</w:t>
            </w:r>
          </w:p>
          <w:p>
            <w:pPr>
              <w:pStyle w:val="ListParagraph"/>
              <w:numPr>
                <w:ilvl w:val="0"/>
                <w:numId w:val="2"/>
              </w:numPr>
            </w:pPr>
            <w:r>
              <w:rPr>
                <w:i w:val="false"/>
                <w:iCs w:val="false"/>
                <w:color w:val="000000"/>
                <w:sz w:val="20"/>
                <w:szCs w:val="20"/>
              </w:rPr>
              <w:t xml:space="preserve">☐ Online Representations - Verify SAM.gov registration is current</w:t>
            </w:r>
          </w:p>
          <w:p>
            <w:pPr>
              <w:pStyle w:val="ListParagraph"/>
              <w:numPr>
                <w:ilvl w:val="0"/>
                <w:numId w:val="2"/>
              </w:numPr>
            </w:pPr>
            <w:r>
              <w:rPr>
                <w:i w:val="false"/>
                <w:iCs w:val="false"/>
                <w:color w:val="000000"/>
                <w:sz w:val="20"/>
                <w:szCs w:val="20"/>
              </w:rPr>
              <w:t xml:space="preserve">☐ FAR 52.204-7 - Submit evidence of registration</w:t>
            </w:r>
          </w:p>
          <w:p>
            <w:pPr>
              <w:pStyle w:val="ListParagraph"/>
              <w:numPr>
                <w:ilvl w:val="0"/>
                <w:numId w:val="2"/>
              </w:numPr>
            </w:pPr>
            <w:r>
              <w:rPr>
                <w:i w:val="false"/>
                <w:iCs w:val="false"/>
                <w:color w:val="000000"/>
                <w:sz w:val="20"/>
                <w:szCs w:val="20"/>
              </w:rPr>
              <w:t xml:space="preserve">☐ Security Forms - DD-254 if applicable (verify classification requirements)</w:t>
            </w:r>
          </w:p>
          <w:p>
            <w:pPr>
              <w:pStyle w:val="ListParagraph"/>
              <w:numPr>
                <w:ilvl w:val="0"/>
                <w:numId w:val="2"/>
              </w:numPr>
            </w:pPr>
            <w:r>
              <w:rPr>
                <w:i w:val="false"/>
                <w:iCs w:val="false"/>
                <w:color w:val="000000"/>
                <w:sz w:val="20"/>
                <w:szCs w:val="20"/>
              </w:rPr>
              <w:t xml:space="preserve">☐ Certifications - All agency-specific certifications completed</w:t>
            </w:r>
          </w:p>
          <w:p>
            <w:pPr>
              <w:pStyle w:val="ListParagraph"/>
              <w:numPr>
                <w:ilvl w:val="0"/>
                <w:numId w:val="2"/>
              </w:numPr>
            </w:pPr>
            <w:r>
              <w:rPr>
                <w:i w:val="false"/>
                <w:iCs w:val="false"/>
                <w:color w:val="000000"/>
                <w:sz w:val="20"/>
                <w:szCs w:val="20"/>
              </w:rPr>
              <w:t xml:space="preserve">☐ Subcontracting Plan - Required if over simplified acquisition threshold</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04040"/>
        <w:sz w:val="16"/>
        <w:szCs w:val="16"/>
      </w:rPr>
      <w:t xml:space="preserve">[Your Company Name] PROPRIETARY - </w:t>
    </w: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04040"/>
        <w:sz w:val="18"/>
        <w:szCs w:val="18"/>
      </w:rPr>
      <w:t xml:space="preserve">Attachment 2. Placement Procedures - ANNOTATED OUTLINE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b/>
      <w:bCs/>
      <w:color w:val="000000"/>
      <w:sz w:val="48"/>
      <w:szCs w:val="48"/>
      <w:rFonts w:ascii="Arial" w:cs="Arial" w:eastAsia="Arial" w:hAnsi="Arial"/>
    </w:rPr>
  </w:style>
  <w:style w:type="paragraph" w:styleId="Heading1">
    <w:name w:val="Heading 1"/>
    <w:basedOn w:val="Normal"/>
    <w:next w:val="Normal"/>
    <w:qFormat/>
    <w:pPr>
      <w:spacing w:before="360" w:after="120"/>
      <w:outlineLvl w:val="0"/>
    </w:pPr>
    <w:rPr>
      <w:b/>
      <w:bCs/>
      <w:color w:val="000000"/>
      <w:sz w:val="32"/>
      <w:szCs w:val="32"/>
      <w:rFonts w:ascii="Arial" w:cs="Arial" w:eastAsia="Arial" w:hAnsi="Arial"/>
    </w:rPr>
  </w:style>
  <w:style w:type="paragraph" w:styleId="Heading2">
    <w:name w:val="Heading 2"/>
    <w:basedOn w:val="Normal"/>
    <w:next w:val="Normal"/>
    <w:qFormat/>
    <w:pPr>
      <w:spacing w:before="240" w:after="120"/>
      <w:outlineLvl w:val="1"/>
    </w:pPr>
    <w:rPr>
      <w:b/>
      <w:bCs/>
      <w:color w:val="404040"/>
      <w:sz w:val="26"/>
      <w:szCs w:val="26"/>
      <w:rFonts w:ascii="Arial" w:cs="Arial" w:eastAsia="Arial" w:hAnsi="Arial"/>
    </w:rPr>
  </w:style>
  <w:style w:type="paragraph" w:styleId="Heading3">
    <w:name w:val="Heading 3"/>
    <w:basedOn w:val="Normal"/>
    <w:next w:val="Normal"/>
    <w:qFormat/>
    <w:pPr>
      <w:spacing w:before="200" w:after="100"/>
      <w:outlineLvl w:val="2"/>
    </w:pPr>
    <w:rPr>
      <w:b/>
      <w:bCs/>
      <w:color w:val="404040"/>
      <w:sz w:val="24"/>
      <w:szCs w:val="24"/>
      <w:rFonts w:ascii="Arial" w:cs="Arial" w:eastAsia="Arial" w:hAnsi="Arial"/>
    </w:rPr>
  </w:style>
  <w:style w:type="paragraph" w:styleId="AnnotationLabel">
    <w:name w:val="Annotation Label"/>
    <w:basedOn w:val="Normal"/>
    <w:pPr>
      <w:spacing w:before="60" w:after="40"/>
    </w:pPr>
    <w:rPr>
      <w:b/>
      <w:bCs/>
      <w:sz w:val="18"/>
      <w:szCs w:val="18"/>
      <w:smallCaps/>
      <w:rFonts w:ascii="Arial" w:cs="Arial" w:eastAsia="Arial" w:hAnsi="Arial"/>
    </w:rPr>
  </w:style>
  <w:style w:type="paragraph" w:styleId="RequirementText">
    <w:name w:val="Requirement Text"/>
    <w:basedOn w:val="Normal"/>
    <w:pPr>
      <w:spacing w:before="40" w:after="40"/>
      <w:ind w:left="360"/>
    </w:pPr>
    <w:rPr>
      <w:i/>
      <w:iCs/>
      <w:sz w:val="20"/>
      <w:szCs w:val="20"/>
      <w:rFonts w:ascii="Arial" w:cs="Arial" w:eastAsia="Arial" w:hAnsi="Arial"/>
    </w:rPr>
  </w:style>
  <w:style w:type="paragraph" w:styleId="WriterGuidance">
    <w:name w:val="Writer Guidance"/>
    <w:basedOn w:val="Normal"/>
    <w:pPr>
      <w:spacing w:before="80" w:after="80"/>
      <w:ind w:left="360"/>
    </w:pPr>
    <w:rPr>
      <w:color w:val="404040"/>
      <w:sz w:val="20"/>
      <w:szCs w:val="20"/>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2025-12-05T19:39:18.385Z</dcterms:created>
  <dcterms:modified xsi:type="dcterms:W3CDTF">2025-12-05T19:39:18.395Z</dcterms:modified>
</cp:coreProperties>
</file>

<file path=docProps/custom.xml><?xml version="1.0" encoding="utf-8"?>
<Properties xmlns="http://schemas.openxmlformats.org/officeDocument/2006/custom-properties" xmlns:vt="http://schemas.openxmlformats.org/officeDocument/2006/docPropsVTypes"/>
</file>