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RFP 75N96025R00004</w:t>
      </w:r>
    </w:p>
    <w:p>
      <w:pPr>
        <w:spacing w:after="200"/>
        <w:jc w:val="center"/>
      </w:pPr>
      <w:r>
        <w:rPr>
          <w:sz w:val="24"/>
          <w:szCs w:val="24"/>
        </w:rPr>
        <w:t xml:space="preserve">Solicitation Number: null</w:t>
      </w:r>
    </w:p>
    <w:p>
      <w:pPr>
        <w:spacing w:after="600"/>
        <w:jc w:val="center"/>
      </w:pPr>
      <w:r>
        <w:rPr>
          <w:b/>
          <w:bCs/>
          <w:color w:val="C00000"/>
          <w:sz w:val="24"/>
          <w:szCs w:val="24"/>
        </w:rPr>
        <w:t xml:space="preserve">Proposal Due: TBD</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TBD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Not Specified</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12 pt</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Weight</w:t>
            </w:r>
          </w:p>
        </w:tc>
        <w:tc>
          <w:tcPr>
            <w:tcW w:type="dxa" w:w="506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Key Criteria</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1: Experience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2: Program And Project Management And Coordination</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3: Technical Approach And Sample Research Outlines</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4: Key Personnel</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5: Environment – Facilities, Equipment, And Security</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6: Past Performance</w:t>
            </w:r>
          </w:p>
        </w:tc>
        <w:tc>
          <w:tcPr>
            <w:tcW w:type="dxa" w:w="1500"/>
            <w:tcBorders>
              <w:top w:val="single" w:color="CCCCCC" w:sz="1"/>
              <w:left w:val="single" w:color="CCCCCC" w:sz="1"/>
              <w:bottom w:val="single" w:color="CCCCCC" w:sz="1"/>
              <w:right w:val="single" w:color="CCCCCC" w:sz="1"/>
            </w:tcBorders>
          </w:tcPr>
          <w:p>
            <w:r>
              <w:rPr>
                <w:sz w:val="20"/>
                <w:szCs w:val="20"/>
              </w:rPr>
              <w:t xml:space="preserve">TBD</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bl>
    <w:p>
      <w:r>
        <w:br w:type="page"/>
      </w:r>
    </w:p>
    <w:p>
      <w:pPr>
        <w:pStyle w:val="Heading1"/>
      </w:pPr>
      <w:r>
        <w:t xml:space="preserve">VOLUME 1: TECHNICAL PROPOSAL</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Factor 2: Program And Project Management And Coordination, Factor 3: Technical Approach And Sample Research Outlines</w:t>
      </w:r>
    </w:p>
    <w:p>
      <w:pPr>
        <w:pStyle w:val="Heading2"/>
      </w:pPr>
      <w:r>
        <w:t xml:space="preserve">SEC-F1. Factor 1: Experience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Basis of Evaluation: The Government will evaluate how well the offeror performed on 
the recent and relevant contracts submitted under Factor 1 - Experience and on other 
recent and relevant contracts documented in known sources. There are three (3) aspects 
of the past performance evaluation: recency, relevancy, and quality. The first is to 
evaluate the recency of the offeror’s past performance. The second aspect is to determine 
whether the offeror’s performance is relevant or not relevant to the effort to be acquired. 
For purposes of this evaluation, a recent and relevant contract is a contract as defined in 
Factor 1, Corporate Experience. The third aspect of the evaluation is to establish the 
overall quality of the offeror’s past performance and how well the contractor performed 
on the contracts. The past performance evaluation performed in support of a current 
source selection does not establish, create, or change the existing record and history of 
the offeror's past performance on past contracts; rather, the past performance evaluation 
process gathers information from customers on how well the offeror performed those 
past contracts.</w:t>
            </w:r>
          </w:p>
          <w:p>
            <w:pPr>
              <w:pStyle w:val="ListParagraph"/>
              <w:numPr>
                <w:ilvl w:val="0"/>
                <w:numId w:val="2"/>
              </w:numPr>
            </w:pPr>
            <w:r>
              <w:rPr>
                <w:i w:val="false"/>
                <w:iCs w:val="false"/>
                <w:color w:val="000000"/>
                <w:sz w:val="20"/>
                <w:szCs w:val="20"/>
              </w:rPr>
              <w:t xml:space="preserve">[REQ] Solicitation Submittal Requirements: Submit a completed CPARS evaluation for each 
project submitted under Factor 1, Experience. If there is not a completed CPARS 
evaluation, the Past Performance Questionnaire (PPQ) included in the solicitation is 
provided for the offeror or its team members to submit to the client for each contract 
the offeror includes in its proposal for Factor 1 – Corporate Experience. AN 
OFFEROR SHALL NOT SUBMIT A PPQ WHEN A COMPLETED CPARS IS 
AVAILABLE.</w:t>
            </w:r>
          </w:p>
          <w:p>
            <w:pPr>
              <w:pStyle w:val="ListParagraph"/>
              <w:numPr>
                <w:ilvl w:val="0"/>
                <w:numId w:val="2"/>
              </w:numPr>
            </w:pPr>
            <w:r>
              <w:rPr>
                <w:i w:val="false"/>
                <w:iCs w:val="false"/>
                <w:color w:val="000000"/>
                <w:sz w:val="20"/>
                <w:szCs w:val="20"/>
              </w:rPr>
              <w:t xml:space="preserve">[REQ] Microglia, the principal immune cells in the brain, are activated by a variety of inflammatory factors and 
are likely involved in the pathogenesis of neurodevelopmental and neurodegenerative disorders, 
including autism spectrum disorder, Parkinson’s, and Alzheimer’s disease. To demonstrate the utility of 
human iPSC-derived microglia as a key component in developing the neural network for alternative test 
methods, this research outline is intended to compare experimental procedures for generating iPSC-
derived microglia across multiple laboratories and to develop best practices for data analysis. Several 
experimental protocols are publicly available (e.g., PMID: 33774810, 29606617). Participating 
laboratories will use harmonized protocols to test a defined chemical set. The work in support of this 
research outline can be a multiple year study with phases which are to be completed within a given 
option period. Phase I will define protocols by evaluating the endpoints which may include morphology, 
expression of microglia biomarkers and microglial signature genes, nitric oxide and reactive oxygen 
species production, phagocytosis, microglia migration, and inflammatory cytokine production. Phase II 
will involve the testing of a chemical set of per and polyfluoralkyl substances (PFAS) on microglia 
activation, and analysis of neurotoxicity assay outcomes. The chemicals with a range of physicochemical 
properties and developmental effects will be provided by NIEHS. The data generated in this study will be 
made publicly available.  
B. Research Requirements 
• Phase I: 
o Identify 4 participating laboratories and harmonize differentiation procedures based on 
published protocols to narrow down to two factors to be tested (e.g., components of 
differentiation cocktail, differentiation duration, source of iPSCs, etc). Four laboratories will be 
assigned with similar protocols except for these two factors with two conditions each as shown in 
table below. Assume iPSC cell lines are commercially available. 
 Lab-1 Lab-2 Lab-3 Lab-4 
Factor 1 Condition A Condition B Condition A Condition A 
Factor 2 Condition A Condition A Condition B Condition B</w:t>
            </w:r>
          </w:p>
          <w:p>
            <w:pPr>
              <w:pStyle w:val="ListParagraph"/>
              <w:numPr>
                <w:ilvl w:val="0"/>
                <w:numId w:val="2"/>
              </w:numPr>
            </w:pPr>
            <w:r>
              <w:rPr>
                <w:i w:val="false"/>
                <w:iCs w:val="false"/>
                <w:color w:val="000000"/>
                <w:sz w:val="20"/>
                <w:szCs w:val="20"/>
              </w:rPr>
              <w:t xml:space="preserve">[REQ] Solicitation Submittal Requirements: Submit a completed CPARS evaluation for each project 
submitted under Factor 1, Experience. If there is not a completed CPARS evaluation, the Past 
Performance Questionnaire (PPQ) included in the solicitation is provided for the offeror or its 
team members to submit to the client for each contract the offeror includes in its proposal for 
Factor 1 – Corporate Experience. AN OFFEROR SHALL NOT SUBMIT A PPQ WHEN A 
COMPLETED CPARS IS A V AILABLE.</w:t>
            </w:r>
          </w:p>
          <w:p>
            <w:pPr>
              <w:pStyle w:val="ListParagraph"/>
              <w:numPr>
                <w:ilvl w:val="0"/>
                <w:numId w:val="2"/>
              </w:numPr>
            </w:pPr>
            <w:r>
              <w:rPr>
                <w:i w:val="false"/>
                <w:iCs w:val="false"/>
                <w:color w:val="000000"/>
                <w:sz w:val="20"/>
                <w:szCs w:val="20"/>
              </w:rPr>
              <w:t xml:space="preserve">[REQ] Solicitation Submittal Requirements: The offeror shall provide a minimum of one (1) and 
a maximum of three (3) examples of recent and relevant contract actions to be 
documented through use of Corporate Experience Project Data Form (Attachment 7). 
The offeror shall clearly demonstrate past experience to perform the services described in 
the Statement of Work. Examples submitted shall be recent and relevant contract actions 
that were similar in size (no less than $150,000), scope, and complexity to the 
requirements described in the Statement of Work (SOW) completed within the last five</w:t>
            </w:r>
          </w:p>
          <w:p>
            <w:pPr>
              <w:pStyle w:val="ListParagraph"/>
              <w:numPr>
                <w:ilvl w:val="0"/>
                <w:numId w:val="2"/>
              </w:numPr>
            </w:pPr>
            <w:r>
              <w:rPr>
                <w:i w:val="false"/>
                <w:iCs w:val="false"/>
                <w:color w:val="000000"/>
                <w:sz w:val="20"/>
                <w:szCs w:val="20"/>
              </w:rPr>
              <w:t xml:space="preserve">[REQ] If the Offeror is a Joint Venture (JV), and the JV has shared relevant experience, at least 
one of the relevant projects should be submitted for the JV entity. If the JV does not have 
shared relevant experience, at least one project shall be submitted for each JV partner. If 
a project was performed by a JV, and not all partners from that JV are on the JV proposed 
for this contract, the offeror shall clearly demonstrate what portion of the work was 
performed by the JV partner offering on this contract and shall not include work 
performed by the JV as a whole. If the Offeror does not specifically address what portion</w:t>
            </w:r>
          </w:p>
          <w:p>
            <w:pPr>
              <w:pStyle w:val="ListParagraph"/>
              <w:numPr>
                <w:ilvl w:val="0"/>
                <w:numId w:val="2"/>
              </w:numPr>
            </w:pPr>
            <w:r>
              <w:rPr>
                <w:i w:val="false"/>
                <w:iCs w:val="false"/>
                <w:color w:val="000000"/>
                <w:sz w:val="20"/>
                <w:szCs w:val="20"/>
              </w:rPr>
              <w:t xml:space="preserve">[REQ] 2.4 For Principal Investigator, provide detail on experience in the conduct and 
reporting of toxicology studies using computational and/or alternative 
methods of similar scope, size and complexity and provide selected 
references for publications relevant to the scope of the RFP. The Principal 
Investigator shall be an employee of the contractor and designated as key 
personnel, considered essential to the contract. General qualifications 
expected of a Principal Investigator include: a Doctorate, or the equivalent 
relevant experience in Life Sciences or Chem/Bio-informatics, with 
demonstrated experience in Chem/Bio-informatics and/or Toxicology; 
demonstrated knowledge of toxicology, validation of alternate toxicological 
test methods, and the use of in vitro and in silico testing methods as they 
relate to the assessment of hazard and safety of chemicals and other agents to 
human health as well as the development of adverse outcome pathways and 
integrated approaches to testing and assessment; demonstrated organizational 
and communication skills.</w:t>
            </w:r>
          </w:p>
          <w:p>
            <w:pPr>
              <w:pStyle w:val="ListParagraph"/>
              <w:numPr>
                <w:ilvl w:val="0"/>
                <w:numId w:val="2"/>
              </w:numPr>
            </w:pPr>
            <w:r>
              <w:rPr>
                <w:i w:val="false"/>
                <w:iCs w:val="false"/>
                <w:color w:val="000000"/>
                <w:sz w:val="20"/>
                <w:szCs w:val="20"/>
              </w:rPr>
              <w:t xml:space="preserve">[REQ] Basis of Evaluation: Offeror demonstrates experience in performing work of similar size, 
scope and complexity to this requirement. The assessment of the offeror’s recent and 
relevant experience will be used as a means of evaluating the capability of the offeror to 
successfully meet the requirements of the RFP. At a minimum, the offeror must submit 
contract actions demonstrating experience: 1. Research, Development, and Validation of 
Computational Toxicological Approaches; 2. Research, Development, and Validation of 
Alternative Test Methods; 3. Meeting Support and Event Hosting; and 4. Communication 
Management (to include the following items: website maintenance, database and 
information support, and training support). The Government will review only the first 
three (3) contract actions submitted. Any contract actions submitted in excess of the three</w:t>
            </w:r>
          </w:p>
          <w:p>
            <w:pPr>
              <w:pStyle w:val="ListParagraph"/>
              <w:numPr>
                <w:ilvl w:val="0"/>
                <w:numId w:val="2"/>
              </w:numPr>
            </w:pPr>
            <w:r>
              <w:rPr>
                <w:i w:val="false"/>
                <w:iCs w:val="false"/>
                <w:color w:val="000000"/>
                <w:sz w:val="20"/>
                <w:szCs w:val="20"/>
              </w:rPr>
              <w:t xml:space="preserve">[REQ] Relevant experience performed by the Offeror as a prime contractor may be considered 
more favorably than experience performed by the Offeror as a subcontractor.</w:t>
            </w:r>
          </w:p>
          <w:p>
            <w:pPr>
              <w:pStyle w:val="ListParagraph"/>
              <w:numPr>
                <w:ilvl w:val="0"/>
                <w:numId w:val="2"/>
              </w:numPr>
            </w:pPr>
            <w:r>
              <w:rPr>
                <w:i w:val="false"/>
                <w:iCs w:val="false"/>
                <w:color w:val="000000"/>
                <w:sz w:val="20"/>
                <w:szCs w:val="20"/>
              </w:rPr>
              <w:t xml:space="preserve">[REQ] 2.5 For Program Manager, provide detail on experience with program 
management and coordination of multidisciplinary projects similar to those 
described in the SOW. The Program Manager shall be an employee of the 
contractor and designated as key personnel. General qualifications expected 
of a Program Manager include: a Master’s degree, or the equivalent, and 
relevant work experience in managing large-scale research programs 
requiring all disciplines; demonstrated capability for effective written and 
oral communication.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SEC-F2. Factor 2: Program And Project Management And Coordination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RFP page 92, Article L.4.B.2.(2).(i). – Factor 2 -- Program and Project Management and 
Coordination – The RFP calls for the offeror’s “draft Information Technology Security Plan” to 
be included in Factor 5.  Additionally, the Evaluation Criteria for Factor 5 indicates that the 
“adequacy of the proposed IT Security Plan” will be evaluated with this Factor [Factor 5].  
However, the “Solicitation Submittal Requirements” for Factor 2 also reference an Information 
Technology Security Plan as an appendix to Factor 2.  Would the Government please confirm that 
the Offeror’s IT Security Plan should be featured as an appendix to Factor 5 only, and not in 
Factor 2?</w:t>
            </w:r>
          </w:p>
          <w:p>
            <w:pPr>
              <w:pStyle w:val="ListParagraph"/>
              <w:numPr>
                <w:ilvl w:val="0"/>
                <w:numId w:val="2"/>
              </w:numPr>
            </w:pPr>
            <w:r>
              <w:rPr>
                <w:i w:val="false"/>
                <w:iCs w:val="false"/>
                <w:color w:val="000000"/>
                <w:sz w:val="20"/>
                <w:szCs w:val="20"/>
              </w:rPr>
              <w:t xml:space="preserve">[REQ] Factor 2, Program and Project Management and Coordination</w:t>
            </w:r>
          </w:p>
          <w:p>
            <w:pPr>
              <w:pStyle w:val="ListParagraph"/>
              <w:numPr>
                <w:ilvl w:val="0"/>
                <w:numId w:val="2"/>
              </w:numPr>
            </w:pPr>
            <w:r>
              <w:rPr>
                <w:i w:val="false"/>
                <w:iCs w:val="false"/>
                <w:color w:val="000000"/>
                <w:sz w:val="20"/>
                <w:szCs w:val="20"/>
              </w:rPr>
              <w:t xml:space="preserve">[REQ] ANSWER:  It is generally expected that any proposed subcontractors submit a complete cost 
proposal in the same format as the offeror’ s cost proposal [ATTACHMENT 11 – Business 
Proposal Template] to the prime offeror for inclusion with the prime offeror’ s Business Proposal 
(see RFP page 93, item 1.9.f. under Factor 2, Program and Project Management and 
Coordination).  
  If, in particular instances, a proposed subcontractor insists that some specific cost 
 information cannot be shared with the prime offeror, that particular proposed subcontractor 
 may contact the Contracting Officer directly (jason.williams2@nih.gov)  to request a secure</w:t>
            </w:r>
          </w:p>
          <w:p>
            <w:pPr>
              <w:pStyle w:val="ListParagraph"/>
              <w:numPr>
                <w:ilvl w:val="0"/>
                <w:numId w:val="2"/>
              </w:numPr>
            </w:pPr>
            <w:r>
              <w:rPr>
                <w:i w:val="false"/>
                <w:iCs w:val="false"/>
                <w:color w:val="000000"/>
                <w:sz w:val="20"/>
                <w:szCs w:val="20"/>
              </w:rPr>
              <w:t xml:space="preserve">[REQ] RFP pages 93-94, Article L.4.B.2.(2)(i) – Factor 2 – Program and Project Management and 
Coordination --  On page 93, the RFP requests a 2-page description for each Key Personnel to be 
included in the proposal body.  On page 94, 2.4 [For PI provide…] and 2.5 [For PM provide…] 
call for additional detail for the PI and PM respectively.  Would the Government please confirm 
that the descriptions required in 2.4 and 2.5 should be presented separately from the content 
provided in 2.1 and that this content does not count toward the 2-page limit per personnel set 
forth in 2.1 [Provide a description for each personnel]?</w:t>
            </w:r>
          </w:p>
          <w:p>
            <w:pPr>
              <w:pStyle w:val="ListParagraph"/>
              <w:numPr>
                <w:ilvl w:val="0"/>
                <w:numId w:val="2"/>
              </w:numPr>
            </w:pPr>
            <w:r>
              <w:rPr>
                <w:i w:val="false"/>
                <w:iCs w:val="false"/>
                <w:color w:val="000000"/>
                <w:sz w:val="20"/>
                <w:szCs w:val="20"/>
              </w:rPr>
              <w:t xml:space="preserve">[REQ] RFP pages 93, 96, Article L.4, Technical Proposal Factor 2 – Program and Project Management 
(page 93) and Factor 4 – Personnel (page 96) – Should offerors include descriptions of the PI and 
PM in the Factor 4 response as well as Factor 2 under section 4.1.2 – Description of Critical 
Personnel?</w:t>
            </w:r>
          </w:p>
          <w:p>
            <w:pPr>
              <w:pStyle w:val="ListParagraph"/>
              <w:numPr>
                <w:ilvl w:val="0"/>
                <w:numId w:val="2"/>
              </w:numPr>
            </w:pPr>
            <w:r>
              <w:rPr>
                <w:i w:val="false"/>
                <w:iCs w:val="false"/>
                <w:color w:val="000000"/>
                <w:sz w:val="20"/>
                <w:szCs w:val="20"/>
              </w:rPr>
              <w:t xml:space="preserve">[REQ] RFP page 111, Section M Evaluation Factors for Award, Factor 2 Program and Project 
Management and Coordination, item i.2. Principal Investigator and Program Manager, last 
sentence – The evaluation criteria for the PM state:  “Appropriateness of the education, training, 
experience, scientific expertise, competency, and accomplishments of the proposed Program 
Manager (as demonstrated in the biographical sketch) familiar with the organization, management 
and coordination of scientific review and evaluation activities…”.  By scientific review and 
evaluation, do you mean NAMs activities?</w:t>
            </w:r>
          </w:p>
          <w:p>
            <w:pPr>
              <w:pStyle w:val="ListParagraph"/>
              <w:numPr>
                <w:ilvl w:val="0"/>
                <w:numId w:val="2"/>
              </w:numPr>
            </w:pPr>
            <w:r>
              <w:rPr>
                <w:i w:val="false"/>
                <w:iCs w:val="false"/>
                <w:color w:val="000000"/>
                <w:sz w:val="20"/>
                <w:szCs w:val="20"/>
              </w:rPr>
              <w:t xml:space="preserve">[REQ] Management Plan and Approach: Appropriateness of the proposed approach 
to program and quality management strategy, including: functional organization 
chart; Quality Management Plan; management of staff, experience of staff 
working together as a team, and communication between the project staff and 
Government staff; details of project scope; scheduling and monitoring of 
progress; relevancy of corporate experience in projects of similar size, scope and 
complexity; evaluation of the offeror’s flexibility to perform various 
multidisciplinary assignments; adequacy of details for arrangement and oversight 
for any proposed subcontractors/consultants.</w:t>
            </w:r>
          </w:p>
          <w:p>
            <w:pPr>
              <w:pStyle w:val="ListParagraph"/>
              <w:numPr>
                <w:ilvl w:val="0"/>
                <w:numId w:val="2"/>
              </w:numPr>
            </w:pPr>
            <w:r>
              <w:rPr>
                <w:i w:val="false"/>
                <w:iCs w:val="false"/>
                <w:color w:val="000000"/>
                <w:sz w:val="20"/>
                <w:szCs w:val="20"/>
              </w:rPr>
              <w:t xml:space="preserve">[REQ] Solicitation Submittal Requirements:  The contract requires a Principal Investigator 
(PI) and Program Manager (PM), both as key personnel. The offerors shall propose a 
delineation of the day-to-day roles and responsibilities of the PI/PM. Collectively, the 
PI and PM are expected to be knowledgeable and involved in all aspects of the 
contract, including project status, record keeping, reporting, and detailed analysis of 
budget for all contract functions. The Offeror shall submit a detailed plan, not to 
exceed 100 pages (two (2) page maximum for the PI; and two (2) pages maximum 
for the PM), addressing all areas below. Any information submitted in excess of the 
100 page limit for this factor will not be considered in the evaluation. This 100 page 
limit does not include the Quality Management Plan, the Biographical Sketches, or 
the Information Technology Security Plan described below.</w:t>
            </w:r>
          </w:p>
          <w:p>
            <w:pPr>
              <w:pStyle w:val="ListParagraph"/>
              <w:numPr>
                <w:ilvl w:val="0"/>
                <w:numId w:val="2"/>
              </w:numPr>
            </w:pPr>
            <w:r>
              <w:rPr>
                <w:i w:val="false"/>
                <w:iCs w:val="false"/>
                <w:color w:val="000000"/>
                <w:sz w:val="20"/>
                <w:szCs w:val="20"/>
              </w:rPr>
              <w:t xml:space="preserve">[REQ] DELIVERABLE REFERENCE DUE/FREQUENCY SUBMIT TO 
Quality Management 
Plan 
Section 
1.6.1.1 
Revise as needed or when major 
changes occur 
COR, CO, and CS 
Monthly Status Reports</w:t>
            </w:r>
          </w:p>
          <w:p>
            <w:pPr>
              <w:pStyle w:val="ListParagraph"/>
              <w:numPr>
                <w:ilvl w:val="0"/>
                <w:numId w:val="2"/>
              </w:numPr>
            </w:pPr>
            <w:r>
              <w:rPr>
                <w:i w:val="false"/>
                <w:iCs w:val="false"/>
                <w:color w:val="000000"/>
                <w:sz w:val="20"/>
                <w:szCs w:val="20"/>
              </w:rPr>
              <w:t xml:space="preserve">[REQ] Microglia, the principal immune cells in the brain, are activated by a variety of inflammatory factors and 
are likely involved in the pathogenesis of neurodevelopmental and neurodegenerative disorders, 
including autism spectrum disorder, Parkinson’s, and Alzheimer’s disease. To demonstrate the utility of 
human iPSC-derived microglia as a key component in developing the neural network for alternative test 
methods, this research outline is intended to compare experimental procedures for generating iPSC-
derived microglia across multiple laboratories and to develop best practices for data analysis. Several 
experimental protocols are publicly available (e.g., PMID: 33774810, 29606617). Participating 
laboratories will use harmonized protocols to test a defined chemical set. The work in support of this 
research outline can be a multiple year study with phases which are to be completed within a given 
option period. Phase I will define protocols by evaluating the endpoints which may include morphology, 
expression of microglia biomarkers and microglial signature genes, nitric oxide and reactive oxygen 
species production, phagocytosis, microglia migration, and inflammatory cytokine production. Phase II 
will involve the testing of a chemical set of per and polyfluoralkyl substances (PFAS) on microglia 
activation, and analysis of neurotoxicity assay outcomes. The chemicals with a range of physicochemical 
properties and developmental effects will be provided by NIEHS. The data generated in this study will be 
made publicly available.  
B. Research Requirements 
• Phase I: 
o Identify 4 participating laboratories and harmonize differentiation procedures based on 
published protocols to narrow down to two factors to be tested (e.g., components of 
differentiation cocktail, differentiation duration, source of iPSCs, etc). Four laboratories will be 
assigned with similar protocols except for these two factors with two conditions each as shown in 
table below. Assume iPSC cell lines are commercially available. 
 Lab-1 Lab-2 Lab-3 Lab-4 
Factor 1 Condition A Condition B Condition A Condition A 
Factor 2 Condition A Condition A Condition B Condition B</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SEC-F3. Factor 3: Technical Approach And Sample Research Outlines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RFP page 94, Article L.4.B.2(3)(i) – Technical Proposal Factor 3 – Technical Approach and 
Sample Research Outlines – The RFP states “The response to Research Outline 7 should not 
include detail but focus on the thought process in developing a research program to meet the 
described objectives”.  Please provide additional clarity on “the thought process in developing a 
research plan”.</w:t>
            </w:r>
          </w:p>
          <w:p>
            <w:pPr>
              <w:pStyle w:val="ListParagraph"/>
              <w:numPr>
                <w:ilvl w:val="0"/>
                <w:numId w:val="2"/>
              </w:numPr>
            </w:pPr>
            <w:r>
              <w:rPr>
                <w:i w:val="false"/>
                <w:iCs w:val="false"/>
                <w:color w:val="000000"/>
                <w:sz w:val="20"/>
                <w:szCs w:val="20"/>
              </w:rPr>
              <w:t xml:space="preserve">[REQ] Factor 3, Technical Approach and Sample Research Outlines</w:t>
            </w:r>
          </w:p>
          <w:p>
            <w:pPr>
              <w:pStyle w:val="ListParagraph"/>
              <w:numPr>
                <w:ilvl w:val="0"/>
                <w:numId w:val="2"/>
              </w:numPr>
            </w:pPr>
            <w:r>
              <w:rPr>
                <w:i w:val="false"/>
                <w:iCs w:val="false"/>
                <w:color w:val="000000"/>
                <w:sz w:val="20"/>
                <w:szCs w:val="20"/>
              </w:rPr>
              <w:t xml:space="preserve">[REQ] New approach methodologies (NAMs) broadly refer to any in silico, in chemico, in vitro, and ex 
vivo technology, methodology, approach, and/or combination thereof, that can provide 
information on chemical and non-chemical hazard and risk assessment while supporting the 
3Rs (replacement, reduction, and refinement of animal studies). Top areas of research focus in 
the evolving NIEHS Strategic Plan include “Developing and building confidence in human-based 
new approach methods”. Related efforts in implementing suitable computational and 
alternative methods for toxicological research have been carried out by DTT/NIEHS scientists in 
support of developing and applying innovative approaches to predict human-relevant health</w:t>
            </w:r>
          </w:p>
          <w:p>
            <w:pPr>
              <w:pStyle w:val="ListParagraph"/>
              <w:numPr>
                <w:ilvl w:val="0"/>
                <w:numId w:val="2"/>
              </w:numPr>
            </w:pPr>
            <w:r>
              <w:rPr>
                <w:i w:val="false"/>
                <w:iCs w:val="false"/>
                <w:color w:val="000000"/>
                <w:sz w:val="20"/>
                <w:szCs w:val="20"/>
              </w:rPr>
              <w:t xml:space="preserve">[REQ] Overall Technical Approach: Appropriateness and feasibility of the 
demonstrated technical approach, including overall strategy, methodologies, 
analyses, technologies, and services, including those that are novel or innovative; 
technical capability in the conduct of toxicological testing using computational 
and alternative methods; including all aspects of the work performed by 
contractor staff and any proposed subcontractors or consultants. Appropriateness 
of the demonstrated understanding of the approach, analysis of the information 
provided in the Sample Research Outlines. Appropriateness of the identification 
of potential problems and solutions, and alternative strategies.</w:t>
            </w:r>
          </w:p>
          <w:p>
            <w:pPr>
              <w:pStyle w:val="ListParagraph"/>
              <w:numPr>
                <w:ilvl w:val="0"/>
                <w:numId w:val="2"/>
              </w:numPr>
            </w:pPr>
            <w:r>
              <w:rPr>
                <w:i w:val="false"/>
                <w:iCs w:val="false"/>
                <w:color w:val="000000"/>
                <w:sz w:val="20"/>
                <w:szCs w:val="20"/>
              </w:rPr>
              <w:t xml:space="preserve">[REQ] Microglia, the principal immune cells in the brain, are activated by a variety of inflammatory factors and 
are likely involved in the pathogenesis of neurodevelopmental and neurodegenerative disorders, 
including autism spectrum disorder, Parkinson’s, and Alzheimer’s disease. To demonstrate the utility of 
human iPSC-derived microglia as a key component in developing the neural network for alternative test 
methods, this research outline is intended to compare experimental procedures for generating iPSC-
derived microglia across multiple laboratories and to develop best practices for data analysis. Several 
experimental protocols are publicly available (e.g., PMID: 33774810, 29606617). Participating 
laboratories will use harmonized protocols to test a defined chemical set. The work in support of this 
research outline can be a multiple year study with phases which are to be completed within a given 
option period. Phase I will define protocols by evaluating the endpoints which may include morphology, 
expression of microglia biomarkers and microglial signature genes, nitric oxide and reactive oxygen 
species production, phagocytosis, microglia migration, and inflammatory cytokine production. Phase II 
will involve the testing of a chemical set of per and polyfluoralkyl substances (PFAS) on microglia 
activation, and analysis of neurotoxicity assay outcomes. The chemicals with a range of physicochemical 
properties and developmental effects will be provided by NIEHS. The data generated in this study will be 
made publicly available.  
B. Research Requirements 
• Phase I: 
o Identify 4 participating laboratories and harmonize differentiation procedures based on 
published protocols to narrow down to two factors to be tested (e.g., components of 
differentiation cocktail, differentiation duration, source of iPSCs, etc). Four laboratories will be 
assigned with similar protocols except for these two factors with two conditions each as shown in 
table below. Assume iPSC cell lines are commercially available. 
 Lab-1 Lab-2 Lab-3 Lab-4 
Factor 1 Condition A Condition B Condition A Condition A 
Factor 2 Condition A Condition A Condition B Condition B</w:t>
            </w:r>
          </w:p>
          <w:p>
            <w:pPr>
              <w:pStyle w:val="ListParagraph"/>
              <w:numPr>
                <w:ilvl w:val="0"/>
                <w:numId w:val="2"/>
              </w:numPr>
            </w:pPr>
            <w:r>
              <w:rPr>
                <w:i w:val="false"/>
                <w:iCs w:val="false"/>
                <w:color w:val="000000"/>
                <w:sz w:val="20"/>
                <w:szCs w:val="20"/>
              </w:rPr>
              <w:t xml:space="preserve">[REQ] ATTACHMENT 2, RFP 75N96025R00004 
 36 
must follow the HHS EPLC framework and methodology and in accordance with the 
HHS Contract Closeout Directive (2018) located at:  
https://oamp.od.nih.gov/sites/default/files/DGS/contracting-forms/HHS-Closeout-
Directive-2018.pdf . HHS EA requirements are located at: 
https://www.hhs.gov/web/governance/digital-strategy/it-policy-archive/hhs-policy-
for-enterprise-architecture.html  and NIH EA requirements are located at: 
https://ocio.nih.gov/PM/Pages/EPLC.aspx .</w:t>
            </w:r>
          </w:p>
          <w:p>
            <w:pPr>
              <w:pStyle w:val="ListParagraph"/>
              <w:numPr>
                <w:ilvl w:val="0"/>
                <w:numId w:val="2"/>
              </w:numPr>
            </w:pPr>
            <w:r>
              <w:rPr>
                <w:i w:val="false"/>
                <w:iCs w:val="false"/>
                <w:color w:val="000000"/>
                <w:sz w:val="20"/>
                <w:szCs w:val="20"/>
              </w:rPr>
              <w:t xml:space="preserve">[REQ] WCAG Conformance Information – The answers in the WCAG success criteria 
are based on the level of conformance being reported (Level A, AA or AAA).  
• These tables are used to answer: 
• Revised Section 508: 
 Chapter 5 Software 
 Chapter 6 Support Documentation 
• T he selected levels of WCAG 2.0 Guidelines. 
• If using a summary table, due to answers applying to multiple criteria, when 
answering for the Revised Section 508, the answers need to be clear about 
which individual criteria the answer applies to. It is possible to either use a 
summary, selecting the worst case for the criteria, or to have separate 
answers or even tables for software, support documentation, authoring tools, 
etc., so long as the methodology used is made clear.</w:t>
            </w:r>
          </w:p>
          <w:p>
            <w:pPr>
              <w:pStyle w:val="ListParagraph"/>
              <w:numPr>
                <w:ilvl w:val="0"/>
                <w:numId w:val="2"/>
              </w:numPr>
            </w:pPr>
            <w:r>
              <w:rPr>
                <w:i w:val="false"/>
                <w:iCs w:val="false"/>
                <w:color w:val="000000"/>
                <w:sz w:val="20"/>
                <w:szCs w:val="20"/>
              </w:rPr>
              <w:t xml:space="preserve">[REQ] The proposal must be prepared in two parts: a "Technical Proposal" and a "Business Proposal." Each of 
the parts shall be separate and complete in itself so that evaluation of one may be accomplished 
independently of, and concurrently with, evaluation of the other. The technical proposal must include 
direct cost and resources information, such as labor-hours and categories and applicable rates, materials, 
subcontracts, travel, etc., and associated costs so that the offeror's understanding of the project may be 
evaluated (See SECTION J, Attachment entitled, TECHNICAL PROPOSAL COST SUMMARY.) 
However, the technical proposal should not include pricing data relating to individual salary information, 
indirect cost rates or amounts, fee amounts (if any), and total costs. The technical proposal should 
disclose your technical approach in as much detail as possible, including, but not limited to, the 
requirements of the technical proposal instructions.</w:t>
            </w:r>
          </w:p>
          <w:p>
            <w:pPr>
              <w:pStyle w:val="ListParagraph"/>
              <w:numPr>
                <w:ilvl w:val="0"/>
                <w:numId w:val="2"/>
              </w:numPr>
            </w:pPr>
            <w:r>
              <w:rPr>
                <w:i w:val="false"/>
                <w:iCs w:val="false"/>
                <w:color w:val="000000"/>
                <w:sz w:val="20"/>
                <w:szCs w:val="20"/>
              </w:rPr>
              <w:t xml:space="preserve">[REQ] Solicitation Submittal Requirements: The criteria described here apply to both the 
overall technical approach as demonstrated in response to the SOW and the required 
capabilities, in addition to proposals for the specific requirements outlined in each of 
the Sample Research Outlines (Attachment 6). The responses to Research Outlines 
1- 6 should be very detailed and describe how all aspects of the work would be</w:t>
            </w:r>
          </w:p>
          <w:p>
            <w:pPr>
              <w:pStyle w:val="ListParagraph"/>
              <w:numPr>
                <w:ilvl w:val="0"/>
                <w:numId w:val="2"/>
              </w:numPr>
            </w:pPr>
            <w:r>
              <w:rPr>
                <w:i w:val="false"/>
                <w:iCs w:val="false"/>
                <w:color w:val="000000"/>
                <w:sz w:val="20"/>
                <w:szCs w:val="20"/>
              </w:rPr>
              <w:t xml:space="preserve">[REQ] All cost proposals will be evaluated on the basis of cost realism analysis for the anticipated cost 
 plus fixed fee type contract.  Therefore, if an offeror is proposing  notably less overall effort than 
 the effort estimates provided in the RFP an offeror must demonstrate in their proposal that all 
 anticipated work can indeed be  performed with less overall effort in accordance with their 
 unique technical approach.  This is to ensure a fair evaluation of cost proposals (and to not give 
 any competitive advantage to unrealistic “low ball” offers as this will be a cost reimbursement-
 type contract whereby the Government assumes the risk of a cost overrun).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SEC-F4. Factor 4: Key Personnel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2.5 For Program Manager, provide detail on experience with program 
management and coordination of multidisciplinary projects similar to those 
described in the SOW. The Program Manager shall be an employee of the 
contractor and designated as key personnel. General qualifications expected 
of a Program Manager include: a Master’s degree, or the equivalent, and 
relevant work experience in managing large-scale research programs 
requiring all disciplines; demonstrated capability for effective written and 
oral communication.</w:t>
            </w:r>
          </w:p>
          <w:p>
            <w:pPr>
              <w:pStyle w:val="ListParagraph"/>
              <w:numPr>
                <w:ilvl w:val="0"/>
                <w:numId w:val="2"/>
              </w:numPr>
            </w:pPr>
            <w:r>
              <w:rPr>
                <w:i w:val="false"/>
                <w:iCs w:val="false"/>
                <w:color w:val="000000"/>
                <w:sz w:val="20"/>
                <w:szCs w:val="20"/>
              </w:rPr>
              <w:t xml:space="preserve">[REQ] RFP page 96, Article L.4.B.2(4)(i) – Technical Proposal Factor 4 – Personnel item 1.3 
Biographical sketches – For ease of reference, would the Government permit offerors to include 
all Biographical Sketches within a single Appendix?  If not, please clarify where the Biographical 
Sketches for Key Personnel should be included.  Both Factor 2 and Factor 4 refer to Biographical 
Sketches for Key Personnel.</w:t>
            </w:r>
          </w:p>
          <w:p>
            <w:pPr>
              <w:pStyle w:val="ListParagraph"/>
              <w:numPr>
                <w:ilvl w:val="0"/>
                <w:numId w:val="2"/>
              </w:numPr>
            </w:pPr>
            <w:r>
              <w:rPr>
                <w:i w:val="false"/>
                <w:iCs w:val="false"/>
                <w:color w:val="000000"/>
                <w:sz w:val="20"/>
                <w:szCs w:val="20"/>
              </w:rPr>
              <w:t xml:space="preserve">[REQ] Solicitation Submittal Requirements:  The contract requires a Principal Investigator 
(PI) and Program Manager (PM), both as key personnel. The offerors shall propose a 
delineation of the day-to-day roles and responsibilities of the PI/PM. Collectively, the 
PI and PM are expected to be knowledgeable and involved in all aspects of the 
contract, including project status, record keeping, reporting, and detailed analysis of 
budget for all contract functions. The Offeror shall submit a detailed plan, not to 
exceed 100 pages (two (2) page maximum for the PI; and two (2) pages maximum 
for the PM), addressing all areas below. Any information submitted in excess of the 
100 page limit for this factor will not be considered in the evaluation. This 100 page 
limit does not include the Quality Management Plan, the Biographical Sketches, or 
the Information Technology Security Plan described below.</w:t>
            </w:r>
          </w:p>
          <w:p>
            <w:pPr>
              <w:pStyle w:val="ListParagraph"/>
              <w:numPr>
                <w:ilvl w:val="0"/>
                <w:numId w:val="2"/>
              </w:numPr>
            </w:pPr>
            <w:r>
              <w:rPr>
                <w:i w:val="false"/>
                <w:iCs w:val="false"/>
                <w:color w:val="000000"/>
                <w:sz w:val="20"/>
                <w:szCs w:val="20"/>
              </w:rPr>
              <w:t xml:space="preserve">[REQ] 1.9.1 Professional Personnel 
The Key Personnel (Principal Investigator and Program Manager) must be approved by the CO 
and shall be employees of the prime Contract organization and members of the professional</w:t>
            </w:r>
          </w:p>
          <w:p>
            <w:pPr>
              <w:pStyle w:val="ListParagraph"/>
              <w:numPr>
                <w:ilvl w:val="0"/>
                <w:numId w:val="2"/>
              </w:numPr>
            </w:pPr>
            <w:r>
              <w:rPr>
                <w:i w:val="false"/>
                <w:iCs w:val="false"/>
                <w:color w:val="000000"/>
                <w:sz w:val="20"/>
                <w:szCs w:val="20"/>
              </w:rPr>
              <w:t xml:space="preserve">[REQ] personnel with an individual with equal or better capability. The replacement of 
key personnel should only occur under circumstances where the Offeror can 
demonstrate a compelling reason for such substitution, and any proposed 
replacements must meet the qualifications and standards specified in the original</w:t>
            </w:r>
          </w:p>
          <w:p>
            <w:pPr>
              <w:pStyle w:val="ListParagraph"/>
              <w:numPr>
                <w:ilvl w:val="0"/>
                <w:numId w:val="2"/>
              </w:numPr>
            </w:pPr>
            <w:r>
              <w:rPr>
                <w:i w:val="false"/>
                <w:iCs w:val="false"/>
                <w:color w:val="000000"/>
                <w:sz w:val="20"/>
                <w:szCs w:val="20"/>
              </w:rPr>
              <w:t xml:space="preserve">[REQ] As part of the Technical Proposal addressing Factor 4 – Personnel (see Section L 
 Technical Proposal Instructions pages 95-97), offerors will identify all personnel  described and 
 their specific duties and availability to the program (percent time/hours).</w:t>
            </w:r>
          </w:p>
          <w:p>
            <w:pPr>
              <w:pStyle w:val="ListParagraph"/>
              <w:numPr>
                <w:ilvl w:val="0"/>
                <w:numId w:val="2"/>
              </w:numPr>
            </w:pPr>
            <w:r>
              <w:rPr>
                <w:i w:val="false"/>
                <w:iCs w:val="false"/>
                <w:color w:val="000000"/>
                <w:sz w:val="20"/>
                <w:szCs w:val="20"/>
              </w:rPr>
              <w:t xml:space="preserve">[REQ] RFP pages 93, 96, Article L.4, Technical Proposal Factor 2 – Program and Project Management 
(page 93) and Factor 4 – Personnel (page 96) – Should offerors include descriptions of the PI and 
PM in the Factor 4 response as well as Factor 2 under section 4.1.2 – Description of Critical 
Personnel?</w:t>
            </w:r>
          </w:p>
          <w:p>
            <w:pPr>
              <w:pStyle w:val="ListParagraph"/>
              <w:numPr>
                <w:ilvl w:val="0"/>
                <w:numId w:val="2"/>
              </w:numPr>
            </w:pPr>
            <w:r>
              <w:rPr>
                <w:i w:val="false"/>
                <w:iCs w:val="false"/>
                <w:color w:val="000000"/>
                <w:sz w:val="20"/>
                <w:szCs w:val="20"/>
              </w:rPr>
              <w:t xml:space="preserve">[REQ] ANSWER:  Factor 2 shall include biographical sketches for PI and PM while Factor 4 shall 
include biographical sketches for professional and technical personnel.</w:t>
            </w:r>
          </w:p>
          <w:p>
            <w:pPr>
              <w:pStyle w:val="ListParagraph"/>
              <w:numPr>
                <w:ilvl w:val="0"/>
                <w:numId w:val="2"/>
              </w:numPr>
            </w:pPr>
            <w:r>
              <w:rPr>
                <w:i w:val="false"/>
                <w:iCs w:val="false"/>
                <w:color w:val="000000"/>
                <w:sz w:val="20"/>
                <w:szCs w:val="20"/>
              </w:rPr>
              <w:t xml:space="preserve">[REQ] Principal Investigator and Program Manager: Appropriateness of the 
education, training, experience, scientific expertise, competency, and 
accomplishments of the proposed Principal Investigator (as demonstrated in the 
biographical sketch) familiar with in the management and coordination of 
multidisciplinary projects leading to the validation of alternative toxicological 
test methods, as well as demonstrated ability to analyze large disparate data sets 
and integrate in vivo, in vitro and in silico data into novel testing methods; 
proposed specific duties, effort on, and availability to the program. 
Appropriateness of the education, training, experience, scientific expertise, 
competency, and accomplishments of the proposed Program Manager (as 
demonstrated in the biographical sketch) familiar with the organization, 
management and coordination of scientific review and evaluation activities; 
proposed specific duties, effort on, and availability to the program.</w:t>
            </w:r>
          </w:p>
          <w:p>
            <w:pPr>
              <w:pStyle w:val="ListParagraph"/>
              <w:numPr>
                <w:ilvl w:val="0"/>
                <w:numId w:val="2"/>
              </w:numPr>
            </w:pPr>
            <w:r>
              <w:rPr>
                <w:i w:val="false"/>
                <w:iCs w:val="false"/>
                <w:color w:val="000000"/>
                <w:sz w:val="20"/>
                <w:szCs w:val="20"/>
              </w:rPr>
              <w:t xml:space="preserve">[REQ] ATTACHMENT 2, RFP 75N96025R00004 
 9
1.9 Personnel 
This contract requires a high degree of collaboration between Contractor staff, especially 
among the Principal Investigator (PI)/Program Manager (PM), toxicologists, computational 
toxicologists, toxicology data analysts, and chem/bio-informaticists. Each requirement 
described in this SOW shall be performed by an appropriate mix of professional, technical, and 
clerical staff. Contract personnel shall have the expertise to contribute to problem formulation 
and study design as required. Personnel assigned to this contract, including subcontractors 
and/or consultants, shall demonstrate to the COR that there are no conflicts of interest relative 
to the work to be performed prior to conducting work under the contract. Personnel assigned 
to this contract with access to federal IT resources may be required to pass a security 
investigation (Section 4).</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SEC-F5. Factor 5: Environment – Facilities, Equipment, And Security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Factor 5, Environment – Facilities, Equipment, and Security</w:t>
            </w:r>
          </w:p>
          <w:p>
            <w:pPr>
              <w:pStyle w:val="ListParagraph"/>
              <w:numPr>
                <w:ilvl w:val="0"/>
                <w:numId w:val="2"/>
              </w:numPr>
            </w:pPr>
            <w:r>
              <w:rPr>
                <w:i w:val="false"/>
                <w:iCs w:val="false"/>
                <w:color w:val="000000"/>
                <w:sz w:val="20"/>
                <w:szCs w:val="20"/>
              </w:rPr>
              <w:t xml:space="preserve">[REQ] RFP page 92, Article L.4.B.2.(2).(i). – Factor 2 -- Program and Project Management and 
Coordination – The RFP calls for the offeror’s “draft Information Technology Security Plan” to 
be included in Factor 5.  Additionally, the Evaluation Criteria for Factor 5 indicates that the 
“adequacy of the proposed IT Security Plan” will be evaluated with this Factor [Factor 5].  
However, the “Solicitation Submittal Requirements” for Factor 2 also reference an Information 
Technology Security Plan as an appendix to Factor 2.  Would the Government please confirm that 
the Offeror’s IT Security Plan should be featured as an appendix to Factor 5 only, and not in 
Factor 2?</w:t>
            </w:r>
          </w:p>
          <w:p>
            <w:pPr>
              <w:pStyle w:val="ListParagraph"/>
              <w:numPr>
                <w:ilvl w:val="0"/>
                <w:numId w:val="2"/>
              </w:numPr>
            </w:pPr>
            <w:r>
              <w:rPr>
                <w:i w:val="false"/>
                <w:iCs w:val="false"/>
                <w:color w:val="000000"/>
                <w:sz w:val="20"/>
                <w:szCs w:val="20"/>
              </w:rPr>
              <w:t xml:space="preserve">[REQ] ANSWER:  It is confirmed that the offeror’ s draft Information Technology Security Plan should be 
 featured as an appendix to Factor 5 only.   The reference to the Information Technology 
 Security Plan at the end of paragraph (2)(i) on RFP page 92 is hereby deleted via this RFP 
 Amendment 2.</w:t>
            </w:r>
          </w:p>
          <w:p>
            <w:pPr>
              <w:pStyle w:val="ListParagraph"/>
              <w:numPr>
                <w:ilvl w:val="0"/>
                <w:numId w:val="2"/>
              </w:numPr>
            </w:pPr>
            <w:r>
              <w:rPr>
                <w:i w:val="false"/>
                <w:iCs w:val="false"/>
                <w:color w:val="000000"/>
                <w:sz w:val="20"/>
                <w:szCs w:val="20"/>
              </w:rPr>
              <w:t xml:space="preserve">[REQ] For selected projects, if development and/or qualification efforts cannot be accomplished 
through the primary Contractor, the Contractor shall propose to the COR qualified laboratories 
to conduct validation testing under a subcontract mechanism and present them to the CO and 
COR for approval (Section 3.3). The Contractor shall be responsible for ensuring that the 
qualification study facilities and equipment meet all qualification requirements, including 
adherence to identified protocols, and that appropriate laboratory experience is available at 
the facility. The Contractor shall ensure that no institutional or individual conflict of interest 
(COI) issues exist for the coordination and/or selection of the laboratories participating in the 
qualification studies. No whole mammal or avian studies will be conducted under this contract, 
including by subcontractor.</w:t>
            </w:r>
          </w:p>
          <w:p>
            <w:pPr>
              <w:pStyle w:val="ListParagraph"/>
              <w:numPr>
                <w:ilvl w:val="0"/>
                <w:numId w:val="2"/>
              </w:numPr>
            </w:pPr>
            <w:r>
              <w:rPr>
                <w:i w:val="false"/>
                <w:iCs w:val="false"/>
                <w:color w:val="000000"/>
                <w:sz w:val="20"/>
                <w:szCs w:val="20"/>
              </w:rPr>
              <w:t xml:space="preserve">[REQ] 5.2 Equipment and Software 
The Contractor is required to supply all equipment, property, and services needed to fulfill the 
SOW that are not explicitly specified as being provided by the Government. These materials 
include but are not limited to computers, printers, phones, Microsoft Office, Web-based 
conferencing software, and Adobe Acrobat Professional (for Section 508 compliance). 
Equipment such as computers and printers shall support Internet and Intranet connections, be 
compatible with NIH computer operating systems, and comply with NIH security policies. The 
Contractor shall conform to security requirements or usability guidelines as appropriate.</w:t>
            </w:r>
          </w:p>
          <w:p>
            <w:pPr>
              <w:pStyle w:val="ListParagraph"/>
              <w:numPr>
                <w:ilvl w:val="0"/>
                <w:numId w:val="2"/>
              </w:numPr>
            </w:pPr>
            <w:r>
              <w:rPr>
                <w:i w:val="false"/>
                <w:iCs w:val="false"/>
                <w:color w:val="000000"/>
                <w:sz w:val="20"/>
                <w:szCs w:val="20"/>
              </w:rPr>
              <w:t xml:space="preserve">[REQ] At any tier handling or accessing information, consent to and allow the 
Government, or an independent third party working at the Government's 
direction, without notice at any time during a weekday during regular 
business hours Contractor local time, to access Contractor and subcontractor 
installations, facilities, infrastructure, data centers, equipment (including but 
not limited to all servers, computing devices, and portable media), operations, 
documentation (whether in electronic, paper, or other forms), databases, and 
personnel which are used in performance of the contract.</w:t>
            </w:r>
          </w:p>
          <w:p>
            <w:pPr>
              <w:pStyle w:val="ListParagraph"/>
              <w:numPr>
                <w:ilvl w:val="0"/>
                <w:numId w:val="2"/>
              </w:numPr>
            </w:pPr>
            <w:r>
              <w:rPr>
                <w:i w:val="false"/>
                <w:iCs w:val="false"/>
                <w:color w:val="000000"/>
                <w:sz w:val="20"/>
                <w:szCs w:val="20"/>
              </w:rPr>
              <w:t xml:space="preserve">[REQ] If required to perform activities under the Contract, the Government will provide a secure laptop computer in order for 
the Contractor to have access to the VPN in use at NIEHS, given the proper security clearances are processed for the 
Contractor staff using the equipment. Contractor staff who are granted access to the NIEHS VPN will be required to 
comply with all NIH training requirements for the maintenance of these accounts.</w:t>
            </w:r>
          </w:p>
          <w:p>
            <w:pPr>
              <w:pStyle w:val="ListParagraph"/>
              <w:numPr>
                <w:ilvl w:val="0"/>
                <w:numId w:val="2"/>
              </w:numPr>
            </w:pPr>
            <w:r>
              <w:rPr>
                <w:i w:val="false"/>
                <w:iCs w:val="false"/>
                <w:color w:val="000000"/>
                <w:sz w:val="20"/>
                <w:szCs w:val="20"/>
              </w:rPr>
              <w:t xml:space="preserve">[REQ] “If required to perform activities under the Contract, the Government will provide a secure laptop 
computer in order for the Contractor to have access to the VPN in use at NIEHS, given the proper 
security clearances are processed for the Contractor staff using the equipment. Contractor staff 
who are granted access to the NIEHS VPN will be required to comply with all NIH training 
requirements for the maintenance of these accounts.”</w:t>
            </w:r>
          </w:p>
          <w:p>
            <w:pPr>
              <w:pStyle w:val="ListParagraph"/>
              <w:numPr>
                <w:ilvl w:val="0"/>
                <w:numId w:val="2"/>
              </w:numPr>
            </w:pPr>
            <w:r>
              <w:rPr>
                <w:i w:val="false"/>
                <w:iCs w:val="false"/>
                <w:color w:val="000000"/>
                <w:sz w:val="20"/>
                <w:szCs w:val="20"/>
              </w:rPr>
              <w:t xml:space="preserve">[REQ] In addition to the reports mentioned herein, any incidence or unforeseeable occurrence not 
listed here, including physical modifications to the laboratory facilities and personnel changes 
which may impact study conduct, shall be immediately reported to the Government.</w:t>
            </w:r>
          </w:p>
          <w:p>
            <w:pPr>
              <w:pStyle w:val="ListParagraph"/>
              <w:numPr>
                <w:ilvl w:val="0"/>
                <w:numId w:val="2"/>
              </w:numPr>
            </w:pPr>
            <w:r>
              <w:rPr>
                <w:i w:val="false"/>
                <w:iCs w:val="false"/>
                <w:color w:val="000000"/>
                <w:sz w:val="20"/>
                <w:szCs w:val="20"/>
              </w:rPr>
              <w:t xml:space="preserve">[REQ] Contract staff shall obtain and present to the COR appropriate security clearances (e.g., 
Homeland Security Presidential Directive 12, [HSPD-12])9 and onboarding trainings prior to 
accessing Federal Government information technology (IT) resources. Contract staff who 
require access shall obtain NIEHS security badges, an NIH account, and comply with HHS OCIO 
policy8 for connecting to the NIEHS IT resources. Contract staff shall also complete all annual 
refresher training associated with the use of an NIH account in a timely manner.</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SEC-F6. Factor 6: Past Performance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Selection of an offeror for contract award will be based on an evaluation of proposals against three factors.  
The factors in order of importance are: technical  (non-cost/price Factors 1 through 5), past performance (non-
cost/price Factor 6 [performance confidence assessment]) and cost/price.  Although technical factors are of 
paramount consideration in the award of the contract, past performance [performance confidence assessment] 
and cost/price are also  important to the overall contract award decision.  All evaluation factors other than 
cost/price, when combined are significantly more important than cost/price.  The Government intends to make 
an award to that offeror whose proposal provides the best overall value to the Government.</w:t>
            </w:r>
          </w:p>
          <w:p>
            <w:pPr>
              <w:pStyle w:val="ListParagraph"/>
              <w:numPr>
                <w:ilvl w:val="0"/>
                <w:numId w:val="2"/>
              </w:numPr>
            </w:pPr>
            <w:r>
              <w:rPr>
                <w:i w:val="false"/>
                <w:iCs w:val="false"/>
                <w:color w:val="000000"/>
                <w:sz w:val="20"/>
                <w:szCs w:val="20"/>
              </w:rPr>
              <w:t xml:space="preserve">[REQ] Selection of an offeror for contract award will be based on an evaluation of proposals against 
 three factors.  The factors in order of importance are: technical  (non-cost/price Factors  1 
 through 5), past performance (non-cost/price Factor 6 [performance confidence assessment]) 
 and cost/price.  Although technical factors are of paramount consideration in the award of 
 the contract, past performance [performance confidence assessment] and cost/price are also 
 important to the overall contract award decision.  All evaluation factors other than 
 cost/price, when combined are significantly more important than cost/price.  The Government 
 intends to make an award to that offeror whose proposal provides the best overall value to 
 the Government.</w:t>
            </w:r>
          </w:p>
          <w:p>
            <w:pPr>
              <w:pStyle w:val="ListParagraph"/>
              <w:numPr>
                <w:ilvl w:val="0"/>
                <w:numId w:val="2"/>
              </w:numPr>
            </w:pPr>
            <w:r>
              <w:rPr>
                <w:i w:val="false"/>
                <w:iCs w:val="false"/>
                <w:color w:val="000000"/>
                <w:sz w:val="20"/>
                <w:szCs w:val="20"/>
              </w:rPr>
              <w:t xml:space="preserve">[REQ] SUBARTICLE L.4.B.2. Technical Proposals, Technical Factors, Factor 6 Past Performance</w:t>
            </w:r>
          </w:p>
          <w:p>
            <w:pPr>
              <w:pStyle w:val="ListParagraph"/>
              <w:numPr>
                <w:ilvl w:val="0"/>
                <w:numId w:val="2"/>
              </w:numPr>
            </w:pPr>
            <w:r>
              <w:rPr>
                <w:i w:val="false"/>
                <w:iCs w:val="false"/>
                <w:color w:val="000000"/>
                <w:sz w:val="20"/>
                <w:szCs w:val="20"/>
              </w:rPr>
              <w:t xml:space="preserve">[REQ] The following Point of Contact information is corrected as follows in Sub-Article L.4.B.2. “Technical Factors”, 
Factor 6 Past Performance:  [page 98 of RFP]</w:t>
            </w:r>
          </w:p>
          <w:p>
            <w:pPr>
              <w:pStyle w:val="ListParagraph"/>
              <w:numPr>
                <w:ilvl w:val="0"/>
                <w:numId w:val="2"/>
              </w:numPr>
            </w:pPr>
            <w:r>
              <w:rPr>
                <w:i w:val="false"/>
                <w:iCs w:val="false"/>
                <w:color w:val="000000"/>
                <w:sz w:val="20"/>
                <w:szCs w:val="20"/>
              </w:rPr>
              <w:t xml:space="preserve">[REQ] The third is to establish the overall quality of the offeror’s past performance. Recency is 
generally expressed as a time period during which past performance references are considered relevant, 
and is critical to establishing the relevancy of past performance information.  In establishing what is 
relevant for the acquisition, consideration should be given to those aspects of an offeror’s contract history 
that would give the greatest ability to measure whether the offeror will satisfy the current procurement.  
Common aspects of relevancy include, but are not limited to, the following:  similarity of service/support, 
complexity, dollar value, contract type, use of key personnel (for services) and extent of 
subcontract/teaming. The third aspect of the past performance evaluation is to establish the overall quality 
of the offeror’s past performance (see FAR 15.304[c][2]). The past performance evaluation conducted in 
support of a current source selection does not establish, create, or change the existing record and history 
of the offeror’s past performance on past contracts; rather, the past performance evaluation process 
gathers information from customers on how well the offeror performed those past contracts.  A separate 
quality assessment rating is not required; rather, the past performance rating using the confidence 
assessment rating, is based on the offeror’s overall record of recency, relevancy, and quality of</w:t>
            </w:r>
          </w:p>
          <w:p>
            <w:pPr>
              <w:pStyle w:val="ListParagraph"/>
              <w:numPr>
                <w:ilvl w:val="0"/>
                <w:numId w:val="2"/>
              </w:numPr>
            </w:pPr>
            <w:r>
              <w:rPr>
                <w:i w:val="false"/>
                <w:iCs w:val="false"/>
                <w:color w:val="000000"/>
                <w:sz w:val="20"/>
                <w:szCs w:val="20"/>
              </w:rPr>
              <w:t xml:space="preserve">[REQ] If the client requests, questionnaires may be submitted directly to the 
Government's point of contact, Megan Bang, via email at megan.bang@nih.gov prior 
to proposal closing date. Offerors shall not incorporate by reference into their 
proposal PPQs or CPARS previously submitted for other RFPs. However, this does 
not preclude the Government from utilizing previously submitted PPQ information in 
the past performance evaluation.</w:t>
            </w:r>
          </w:p>
          <w:p>
            <w:pPr>
              <w:pStyle w:val="ListParagraph"/>
              <w:numPr>
                <w:ilvl w:val="0"/>
                <w:numId w:val="2"/>
              </w:numPr>
            </w:pPr>
            <w:r>
              <w:rPr>
                <w:i w:val="false"/>
                <w:iCs w:val="false"/>
                <w:color w:val="000000"/>
                <w:sz w:val="20"/>
                <w:szCs w:val="20"/>
              </w:rPr>
              <w:t xml:space="preserve">[REQ] IF A CPARS EV ALUATION IS NOT A V AILABLE, ensure correct phone numbers and email 
addresses are provided for the client point of contact. Completed PPQs should be submitted with 
your proposal. If the offeror is unable to obtain a completed PPQ from a client for a project(s) 
before proposal closing date, the offeror should complete and submit with the proposal the first 
page of the PPQ (Attachment 9), which will provide contract and client information for the 
respective contract(s). Offerors should follow-up with clients/references to ensure timely submittal 
of questionnaires. If the client requests, questionnaires may be submitted directly to the 
Government's point of contact, Jason Williams [changed from Megan Bang], via email at 
jason.williams2@nih.gov prior to proposal closing date. Offerors shall not incorporate by 
reference into their proposal PPQs or CPARS previously submitted for other RFPs. However, this 
does not preclude the Government from utilizing previously submitted PPQ information in the 
past performance evaluation.</w:t>
            </w:r>
          </w:p>
          <w:p>
            <w:pPr>
              <w:pStyle w:val="ListParagraph"/>
              <w:numPr>
                <w:ilvl w:val="0"/>
                <w:numId w:val="2"/>
              </w:numPr>
            </w:pPr>
            <w:r>
              <w:rPr>
                <w:i w:val="false"/>
                <w:iCs w:val="false"/>
                <w:color w:val="000000"/>
                <w:sz w:val="20"/>
                <w:szCs w:val="20"/>
              </w:rPr>
              <w:t xml:space="preserve">[REQ] Basis of Evaluation: The Government will evaluate how well the offeror performed on 
the recent and relevant contracts submitted under Factor 1 - Experience and on other 
recent and relevant contracts documented in known sources. There are three (3) aspects 
of the past performance evaluation: recency, relevancy, and quality. The first is to 
evaluate the recency of the offeror’s past performance. The second aspect is to determine 
whether the offeror’s performance is relevant or not relevant to the effort to be acquired. 
For purposes of this evaluation, a recent and relevant contract is a contract as defined in 
Factor 1, Corporate Experience. The third aspect of the evaluation is to establish the 
overall quality of the offeror’s past performance and how well the contractor performed 
on the contracts. The past performance evaluation performed in support of a current 
source selection does not establish, create, or change the existing record and history of 
the offeror's past performance on past contracts; rather, the past performance evaluation 
process gathers information from customers on how well the offeror performed those 
past contracts.</w:t>
            </w:r>
          </w:p>
          <w:p>
            <w:pPr>
              <w:pStyle w:val="ListParagraph"/>
              <w:numPr>
                <w:ilvl w:val="0"/>
                <w:numId w:val="2"/>
              </w:numPr>
            </w:pPr>
            <w:r>
              <w:rPr>
                <w:i w:val="false"/>
                <w:iCs w:val="false"/>
                <w:color w:val="000000"/>
                <w:sz w:val="20"/>
                <w:szCs w:val="20"/>
              </w:rPr>
              <w:t xml:space="preserve">[REQ] There are three aspects to the past performance evaluation: recency, relevancy (including context of 
data), and quality (including general trends in contractor performance and source of information).</w:t>
            </w:r>
          </w:p>
          <w:p>
            <w:pPr>
              <w:pStyle w:val="ListParagraph"/>
              <w:numPr>
                <w:ilvl w:val="0"/>
                <w:numId w:val="2"/>
              </w:numPr>
            </w:pPr>
            <w:r>
              <w:rPr>
                <w:i w:val="false"/>
                <w:iCs w:val="false"/>
                <w:color w:val="000000"/>
                <w:sz w:val="20"/>
                <w:szCs w:val="20"/>
              </w:rPr>
              <w:t xml:space="preserve">[REQ] Past Performance Relevancy Rating Method 
Adjectival Rating Description 
Very Relevant Present/past performance effort involved essentially the same scope and 
magnitude of effort and complexities this solicitation requires. 
Relevant Present/past performance effort involved similar scope and magnitude of 
effort and complexities this solicitation requires. 
Somewhat Relevant Present/past performance effort involved some of the scope and magnitude of 
effort and complexities this solicitation requires. 
Not Relevant Present/past performance effort involved little or none of the scope and 
magnitude of effort and complexities this solicitation requires.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[Enter discriminator/strength for this section]</w:t>
            </w:r>
          </w:p>
          <w:p>
            <w:pPr>
              <w:pStyle w:val="ListParagraph"/>
              <w:numPr>
                <w:ilvl w:val="0"/>
                <w:numId w:val="2"/>
              </w:numPr>
            </w:pPr>
            <w:r>
              <w:rPr>
                <w:i/>
                <w:iCs/>
                <w:color w:val="404040"/>
                <w:sz w:val="20"/>
                <w:szCs w:val="20"/>
              </w:rPr>
              <w:t xml:space="preserve">[Feature → Benefit → Proof structure]</w:t>
            </w:r>
          </w:p>
          <w:p>
            <w:pPr>
              <w:pStyle w:val="ListParagraph"/>
              <w:numPr>
                <w:ilvl w:val="0"/>
                <w:numId w:val="2"/>
              </w:numPr>
            </w:pPr>
            <w:r>
              <w:rPr>
                <w:i/>
                <w:iCs/>
                <w:color w:val="404040"/>
                <w:sz w:val="20"/>
                <w:szCs w:val="20"/>
              </w:rPr>
              <w:t xml:space="preserve">[Key message that aligns with customer hot buttons]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[Past performance example needed]</w:t>
            </w:r>
          </w:p>
          <w:p>
            <w:pPr>
              <w:pStyle w:val="ListParagraph"/>
              <w:numPr>
                <w:ilvl w:val="0"/>
                <w:numId w:val="2"/>
              </w:numPr>
            </w:pPr>
            <w:r>
              <w:rPr>
                <w:i/>
                <w:iCs/>
                <w:color w:val="404040"/>
                <w:sz w:val="20"/>
                <w:szCs w:val="20"/>
              </w:rPr>
              <w:t xml:space="preserve">[Quantifiable metric to include (e.g., 99.9% uptime, 40% cost reduction)]</w:t>
            </w:r>
          </w:p>
          <w:p>
            <w:pPr>
              <w:pStyle w:val="ListParagraph"/>
              <w:numPr>
                <w:ilvl w:val="0"/>
                <w:numId w:val="2"/>
              </w:numPr>
            </w:pPr>
            <w:r>
              <w:rPr>
                <w:i/>
                <w:iCs/>
                <w:color w:val="404040"/>
                <w:sz w:val="20"/>
                <w:szCs w:val="20"/>
              </w:rPr>
              <w:t xml:space="preserve">[Certification or qualification to cite]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BUSINESS PROPOSAL</w:t>
      </w:r>
    </w:p>
    <w:p>
      <w:pPr>
        <w:spacing w:after="120"/>
      </w:pPr>
      <w:r>
        <w:rPr>
          <w:b/>
          <w:bCs/>
          <w:sz w:val="22"/>
          <w:szCs w:val="22"/>
        </w:rPr>
        <w:t xml:space="preserve">Page Limit: </w:t>
      </w:r>
      <w:r>
        <w:rPr>
          <w:color w:val="C00000"/>
          <w:sz w:val="22"/>
          <w:szCs w:val="22"/>
        </w:rPr>
        <w:t xml:space="preserve">No limit specified</w:t>
      </w:r>
    </w:p>
    <w:p>
      <w:pPr>
        <w:pStyle w:val="Heading2"/>
      </w:pPr>
      <w:r>
        <w:t xml:space="preserve">1. Executive Summary</w:t>
      </w:r>
    </w:p>
    <w:p>
      <w:pPr>
        <w:spacing w:after="120"/>
      </w:pPr>
      <w:r>
        <w:rPr>
          <w:i/>
          <w:iCs/>
          <w:color w:val="404040"/>
          <w:sz w:val="20"/>
          <w:szCs w:val="20"/>
        </w:rPr>
        <w:t xml:space="preserve">High-level overview demonstrating understanding and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2. Technical Approach</w:t>
      </w:r>
    </w:p>
    <w:p>
      <w:pPr>
        <w:spacing w:after="120"/>
      </w:pPr>
      <w:r>
        <w:rPr>
          <w:i/>
          <w:iCs/>
          <w:color w:val="404040"/>
          <w:sz w:val="20"/>
          <w:szCs w:val="20"/>
        </w:rPr>
        <w:t xml:space="preserve">Detailed methodology and solution design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3. Management Approach</w:t>
      </w:r>
    </w:p>
    <w:p>
      <w:pPr>
        <w:spacing w:after="120"/>
      </w:pPr>
      <w:r>
        <w:rPr>
          <w:i/>
          <w:iCs/>
          <w:color w:val="404040"/>
          <w:sz w:val="20"/>
          <w:szCs w:val="20"/>
        </w:rPr>
        <w:t xml:space="preserve">Project management, staffing,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4. Past Performance</w:t>
      </w:r>
    </w:p>
    <w:p>
      <w:pPr>
        <w:spacing w:after="120"/>
      </w:pPr>
      <w:r>
        <w:rPr>
          <w:i/>
          <w:iCs/>
          <w:color w:val="404040"/>
          <w:sz w:val="20"/>
          <w:szCs w:val="20"/>
        </w:rPr>
        <w:t xml:space="preserve">Relevant experience and references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p>
      <w:pPr>
        <w:pStyle w:val="Heading2"/>
      </w:pPr>
      <w:r>
        <w:t xml:space="preserve">5. Staffing Plan</w:t>
      </w:r>
    </w:p>
    <w:p>
      <w:pPr>
        <w:spacing w:after="120"/>
      </w:pPr>
      <w:r>
        <w:rPr>
          <w:i/>
          <w:iCs/>
          <w:color w:val="404040"/>
          <w:sz w:val="20"/>
          <w:szCs w:val="20"/>
        </w:rPr>
        <w:t xml:space="preserve">Key personnel qualifications and org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REQUIREMENTS TO ADDRESS</w:t>
            </w:r>
          </w:p>
          <w:p>
            <w:pPr>
              <w:pStyle w:val="ListParagraph"/>
              <w:numPr>
                <w:ilvl w:val="0"/>
                <w:numId w:val="2"/>
              </w:numPr>
            </w:pPr>
            <w:r>
              <w:rPr>
                <w:i/>
                <w:iCs/>
                <w:color w:val="404040"/>
                <w:sz w:val="20"/>
                <w:szCs w:val="20"/>
              </w:rPr>
              <w:t xml:space="preserve">[Review Section L and add specific requirements for this section]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w:t>
            </w:r>
          </w:p>
          <w:p>
            <w:pPr>
              <w:pStyle w:val="ListParagraph"/>
              <w:numPr>
                <w:ilvl w:val="0"/>
                <w:numId w:val="2"/>
              </w:numPr>
            </w:pPr>
            <w:r>
              <w:rPr>
                <w:i/>
                <w:iCs/>
                <w:color w:val="404040"/>
                <w:sz w:val="20"/>
                <w:szCs w:val="20"/>
              </w:rPr>
              <w:t xml:space="preserve">[Add win themes and discriminators for this section]</w:t>
            </w:r>
          </w:p>
        </w:tc>
      </w:tr>
    </w:tbl>
    <w:p>
      <w:pPr>
        <w:spacing w:after="2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RFP 75N96025R00004 -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2025-12-03T00:49:16.478Z</dcterms:created>
  <dcterms:modified xsi:type="dcterms:W3CDTF">2025-12-03T00:49:16.478Z</dcterms:modified>
</cp:coreProperties>
</file>

<file path=docProps/custom.xml><?xml version="1.0" encoding="utf-8"?>
<Properties xmlns="http://schemas.openxmlformats.org/officeDocument/2006/custom-properties" xmlns:vt="http://schemas.openxmlformats.org/officeDocument/2006/docPropsVTypes"/>
</file>