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Attachment 5. Organizational Conflict of Interest Checklist</w:t>
      </w:r>
    </w:p>
    <w:p>
      <w:pPr>
        <w:spacing w:after="200"/>
        <w:jc w:val="center"/>
      </w:pPr>
      <w:r>
        <w:rPr>
          <w:sz w:val="24"/>
          <w:szCs w:val="24"/>
        </w:rPr>
        <w:t xml:space="preserve">Solicitation Number: null</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Not Specified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1: Experience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w:t>
      </w:r>
    </w:p>
    <w:p>
      <w:pPr>
        <w:pStyle w:val="Heading2"/>
      </w:pPr>
      <w:r>
        <w:t xml:space="preserve">SEC-F1. Factor 1: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SEC-F2. Factor 2: Program and Project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 
library. The approach should address how the offeror will execute infrastructure upgrades and/or 
rollbacks while minimizing breaks in service.  The approach should also include any offeror 
provided tooling or specialized processes used to manage changes across multiple configuration 
change boards/change management boards run by different organizations.  Resumes should also 
be submitted for key personnel that demonstrate how the offeror meets requirements in the 
SOW.</w:t>
            </w:r>
          </w:p>
          <w:p>
            <w:pPr>
              <w:pStyle w:val="ListParagraph"/>
              <w:numPr>
                <w:ilvl w:val="0"/>
                <w:numId w:val="2"/>
              </w:numPr>
            </w:pPr>
            <w:r>
              <w:rPr>
                <w:i w:val="false"/>
                <w:iCs w:val="false"/>
                <w:color w:val="000000"/>
                <w:sz w:val="20"/>
                <w:szCs w:val="20"/>
              </w:rPr>
              <w:t xml:space="preserve">[REQ] 2.4.1 The Contractor shall provide the CDRLs identified in Table 2. The SPO will review the 
submission of data per the CDRL prior to acceptance, acceptance criteria will include 
verification of appropriate intellectual property markings. 
Table 2: Contract Data Requirements List 
# CDRL Frequency 
A001 Cost Funds Status Report (CFSR) Monthly 
A002 Program Protection Implementation Plan (PPIP) Once 
A003 Data Accession List (DAL) Periodic 
A004 Program Management Review (PMR) Monthly</w:t>
            </w:r>
          </w:p>
          <w:p>
            <w:pPr>
              <w:pStyle w:val="ListParagraph"/>
              <w:numPr>
                <w:ilvl w:val="0"/>
                <w:numId w:val="2"/>
              </w:numPr>
            </w:pPr>
            <w:r>
              <w:rPr>
                <w:i w:val="false"/>
                <w:iCs w:val="false"/>
                <w:color w:val="000000"/>
                <w:sz w:val="20"/>
                <w:szCs w:val="20"/>
              </w:rPr>
              <w:t xml:space="preserve">[REQ] CUI 
 CUI 11  
• Program Management plan, 
• Staffing Plan, 
• Subcontract information, 
• Organizational Conflict of Interest Plan</w:t>
            </w:r>
          </w:p>
          <w:p>
            <w:pPr>
              <w:pStyle w:val="ListParagraph"/>
              <w:numPr>
                <w:ilvl w:val="0"/>
                <w:numId w:val="2"/>
              </w:numPr>
            </w:pPr>
            <w:r>
              <w:rPr>
                <w:i w:val="false"/>
                <w:iCs w:val="false"/>
                <w:color w:val="000000"/>
                <w:sz w:val="20"/>
                <w:szCs w:val="20"/>
              </w:rPr>
              <w:t xml:space="preserve">[REQ] 2.1.1 The Contractor shall provide program management and staffing resources necessary to 
plan, manage, direct, control, and report on all activities contributing to requirements 
identified herein.</w:t>
            </w:r>
          </w:p>
          <w:p>
            <w:pPr>
              <w:pStyle w:val="ListParagraph"/>
              <w:numPr>
                <w:ilvl w:val="0"/>
                <w:numId w:val="2"/>
              </w:numPr>
            </w:pPr>
            <w:r>
              <w:rPr>
                <w:i w:val="false"/>
                <w:iCs w:val="false"/>
                <w:color w:val="000000"/>
                <w:sz w:val="20"/>
                <w:szCs w:val="20"/>
              </w:rPr>
              <w:t xml:space="preserve">[REQ] CUI 
 CUI 5  
1 Introduction 
The Space Command and Control (C2) government System Program Office (SPO) is responsible 
for developing software and the supporting architecture for the Organize, Understand, Plan, 
Decide, Direct, and Monitor capabilities within the C2 Joint Capability Areas (JCAs). The 
program plans to employ a modular contracting strategy to take advantage of managing and 
implementing separate lines of effort.  Line of Effort (LOE) 0 provides the foundational structure 
for Systems Engineering, Integration, and Test (SEIT) and security-classification-specific 
Infrastructure, Platform, Networks, and Data layers (LOE1) (Figure 1). LOE0 and LOE1 support 
cross-capability integration, test, and fielding for Space C2 software developed using an Agile-
based, Development, Security, and Operations (DevSecOps) Rapid Delivery Framework. 
Software development and capabilities primarily support LOE2 Space Domain Awareness, 
LOE3 Theater Support, and LOE4 Space Defense. The software LOEs are focused on individual 
customer requirements to tailor software development for the unique operational mission areas 
and to simplify customer prioritization of the product backlog for each mission area.  
The Space C2 Program Office will provide customer support by establishing a 24 hours-a-day, 7-
days a week (24/7) Network Operations Center (NOC) at Vandenberg Space Force Base (VSFB) 
at the Secret and Top Secret / Sensitive Compartmented Information (TS/SCI) levels. The NOC 
provides 24/7 product support such as operational dashboard monitoring, call tree notifications, 
and general “Tier 1” support as shown in Figure 2. This support spans Space C2 software 
products, WarpCore (Data as a Service) data layer, and Space C2 on-prem infrastructure (known 
as C2 Operational [C2Ops] environment) through dashboard(s) on the Space C2 WarpCore 
system and initial SPO-provided procedures.  
The 24/7 NOC scope includes Tier 1 network support using network-provided dashboard(s) and 
procedure(s) for the Space Awareness Resilient Tactical Network (SPARTAN) and Space 
Domain Awareness Network (SDANet), at a minimum. The 24/7 NOC utilizes insights from 
other networks, such as but not limited to MeshOne-T, Space Defense Interface Network 
(SDIN), Communications Processing System (CPS), to report out issues identified and associate 
scope of impacts. 
The Space C2 Program also requires regular duty hours infrastructure and operations support, 
this includes system administration and maintenance of on-prem hardware (C2Ops and TBD 
MOSSAIC Scope). The 24/7 NOC principally resides within LOE1 and supports LOEs 0, 2, 3, 
and 4 within the total Space C2 portfolio. 
&lt;TBD paragraph on Maintenance of Space Situational Awareness Integrated Capabilities 
(MOSSAIC) Scope&gt; 
This contract scope is grouped in the following categories:   
- General support to users including Tier 0 and Tier 1 actions and system monitoring.   
- Software monitoring of all Commercial-Off-The-Shel...</w:t>
            </w:r>
          </w:p>
          <w:p>
            <w:pPr>
              <w:pStyle w:val="ListParagraph"/>
              <w:numPr>
                <w:ilvl w:val="0"/>
                <w:numId w:val="2"/>
              </w:numPr>
            </w:pPr>
            <w:r>
              <w:rPr>
                <w:i w:val="false"/>
                <w:iCs w:val="false"/>
                <w:color w:val="000000"/>
                <w:sz w:val="20"/>
                <w:szCs w:val="20"/>
              </w:rPr>
              <w:t xml:space="preserve">[REQ] Points of Contact 
Offerors shall provide primary and alternate points of contact including job title, telephone 
number and email address responsible for working non-disclosure agreements and subcontractor 
agreements as well as all program management and contracting functions for this delivery order.</w:t>
            </w:r>
          </w:p>
          <w:p>
            <w:pPr>
              <w:pStyle w:val="ListParagraph"/>
              <w:numPr>
                <w:ilvl w:val="0"/>
                <w:numId w:val="2"/>
              </w:numPr>
            </w:pPr>
            <w:r>
              <w:rPr>
                <w:i w:val="false"/>
                <w:iCs w:val="false"/>
                <w:color w:val="000000"/>
                <w:sz w:val="20"/>
                <w:szCs w:val="20"/>
              </w:rPr>
              <w:t xml:space="preserve">[REQ] 2.1.9 The Contractor shall establish necessary subcontracts and ensure the flow down of 
Intellectual Property assertions, Program Management requirements, and Personnel and 
Staffing requirements. The Contractor shall ensure that subcontractor data available to 
the Contractor is also available to the Government (to be delivered in the DAL). 
DRAFT</w:t>
            </w:r>
          </w:p>
          <w:p>
            <w:pPr>
              <w:pStyle w:val="ListParagraph"/>
              <w:numPr>
                <w:ilvl w:val="0"/>
                <w:numId w:val="2"/>
              </w:numPr>
            </w:pPr>
            <w:r>
              <w:rPr>
                <w:i w:val="false"/>
                <w:iCs w:val="false"/>
                <w:color w:val="000000"/>
                <w:sz w:val="20"/>
                <w:szCs w:val="20"/>
              </w:rPr>
              <w:t xml:space="preserve">[REQ] 2.3.3 The Contractor shall conduct a monthly Program Management Review (PMR) 
alternating each month between an Executive-level PMR and a Program Manager-level 
PMR. The PMR shall be virtual, unless otherwise specified by the Government Lead, or 
their designee. The PMR draft agenda shall sent to the Government Lead no less than 
five (5) business days prior to the PMR and the agenda shall be approved by the 
Government Lead.</w:t>
            </w:r>
          </w:p>
          <w:p>
            <w:pPr>
              <w:pStyle w:val="ListParagraph"/>
              <w:numPr>
                <w:ilvl w:val="0"/>
                <w:numId w:val="2"/>
              </w:numPr>
            </w:pPr>
            <w:r>
              <w:rPr>
                <w:i w:val="false"/>
                <w:iCs w:val="false"/>
                <w:color w:val="000000"/>
                <w:sz w:val="20"/>
                <w:szCs w:val="20"/>
              </w:rPr>
              <w:t xml:space="preserve">[REQ] 3.  The government intends to award a single Cost Plus Fixed Fee Delivery Order consisting of a 
five (5)-year period of performance to acquire manning power for the creation and maintenance 
of a 24x7 Network Operations Center for the Space Systems Command / Operational Space C2 
Acquisition Delta (SSC/BCC). However, the Government also intends to include cost-
reimbursement (no fee) Contract Line Item Numbers (CLINs) for Other Direct Costs/Travel and 
GSA Contract Access Fee (CAF). The CAF will be implemented as a contractor payment to 
GSA. The proposal shall be based on the requirements in the attached Statement of Work 
(Attachment 1).  This DRAFT fair opportunity proposal request (FOPR) is issued pursuant to the 
OASIS+ Total  Small Business  IDIQ contract.  The government intends to award on or about 9 
May 2025.  The following TENTATIVE schedule is provided for planning purposes: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BUSINESS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Attachment 5. Organizational Conflict of Interest Checklist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2025-12-15T12:30:48.044Z</dcterms:created>
  <dcterms:modified xsi:type="dcterms:W3CDTF">2025-12-15T12:30:48.061Z</dcterms:modified>
</cp:coreProperties>
</file>

<file path=docProps/custom.xml><?xml version="1.0" encoding="utf-8"?>
<Properties xmlns="http://schemas.openxmlformats.org/officeDocument/2006/custom-properties" xmlns:vt="http://schemas.openxmlformats.org/officeDocument/2006/docPropsVTypes"/>
</file>