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pPr>
      <w:r>
        <w:t xml:space="preserve">ANNOTATED PROPOSAL OUTLINE</w:t>
      </w:r>
    </w:p>
    <w:p>
      <w:pPr>
        <w:spacing w:before="400" w:after="400"/>
        <w:jc w:val="center"/>
      </w:pPr>
      <w:r>
        <w:rPr>
          <w:b/>
          <w:bCs/>
          <w:color w:val="000000"/>
          <w:sz w:val="36"/>
          <w:szCs w:val="36"/>
        </w:rPr>
        <w:t xml:space="preserve">36C10B26Q0064_1</w:t>
      </w:r>
    </w:p>
    <w:p>
      <w:pPr>
        <w:spacing w:after="200"/>
        <w:jc w:val="center"/>
      </w:pPr>
      <w:r>
        <w:rPr>
          <w:sz w:val="24"/>
          <w:szCs w:val="24"/>
        </w:rPr>
        <w:t xml:space="preserve">Solicitation Number: TBD</w:t>
      </w:r>
    </w:p>
    <w:p>
      <w:pPr>
        <w:spacing w:after="600"/>
        <w:jc w:val="center"/>
      </w:pPr>
      <w:r>
        <w:rPr>
          <w:b/>
          <w:bCs/>
          <w:color w:val="C00000"/>
          <w:sz w:val="24"/>
          <w:szCs w:val="24"/>
        </w:rPr>
        <w:t xml:space="preserve">Proposal Due: TBD</w:t>
      </w:r>
    </w:p>
    <w:p>
      <w:pPr>
        <w:spacing w:before="800"/>
        <w:jc w:val="center"/>
      </w:pPr>
      <w:r>
        <w:rPr>
          <w:sz w:val="22"/>
          <w:szCs w:val="22"/>
        </w:rPr>
        <w:t xml:space="preserve">Prepared by: [Your Company Name]</w:t>
      </w:r>
    </w:p>
    <w:p>
      <w:pPr>
        <w:pBdr>
          <w:top w:val="single" w:color="000000" w:sz="6"/>
        </w:pBdr>
        <w:spacing w:before="1200" w:after="400"/>
        <w:jc w:val="center"/>
      </w:pPr>
      <w:r>
        <w:rPr>
          <w:i/>
          <w:iCs/>
          <w:sz w:val="20"/>
          <w:szCs w:val="20"/>
        </w:rPr>
        <w:t xml:space="preserve">This annotated outline serves as the master template for all proposal content development. </w:t>
      </w:r>
      <w:r>
        <w:rPr>
          <w:i/>
          <w:iCs/>
          <w:sz w:val="20"/>
          <w:szCs w:val="20"/>
        </w:rPr>
        <w:t xml:space="preserve">All writers must address every annotated requirement and follow the page allocations specified.</w:t>
      </w:r>
    </w:p>
    <w:p>
      <w:r>
        <w:br w:type="page"/>
      </w:r>
    </w:p>
    <w:p>
      <w:pPr>
        <w:pStyle w:val="Heading1"/>
      </w:pPr>
      <w:r>
        <w:t xml:space="preserve">SUBMISSION &amp; FORMAT REQUIREMENTS</w:t>
      </w:r>
    </w:p>
    <w:p>
      <w:pPr>
        <w:spacing w:after="200"/>
      </w:pPr>
      <w:r>
        <w:rPr>
          <w:b/>
          <w:bCs/>
          <w:color w:val="C00000"/>
        </w:rPr>
        <w:t xml:space="preserve">CRITICAL: Non-compliance with format requirements may result in proposal disqualification.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FC000" w:val="clear"/>
          </w:tcPr>
          <w:p>
            <w:r>
              <w:rPr>
                <w:b/>
                <w:bCs/>
                <w:sz w:val="22"/>
                <w:szCs w:val="22"/>
              </w:rPr>
              <w:t xml:space="preserve">Due Date</w:t>
            </w:r>
          </w:p>
        </w:tc>
        <w:tc>
          <w:tcPr>
            <w:tcW w:type="dxa" w:w="6360"/>
            <w:tcBorders>
              <w:top w:val="single" w:color="CCCCCC" w:sz="1"/>
              <w:left w:val="single" w:color="CCCCCC" w:sz="1"/>
              <w:bottom w:val="single" w:color="CCCCCC" w:sz="1"/>
              <w:right w:val="single" w:color="CCCCCC" w:sz="1"/>
            </w:tcBorders>
            <w:shd w:fill="FFC000" w:val="clear"/>
          </w:tcPr>
          <w:p>
            <w:r>
              <w:rPr>
                <w:color w:val="000000"/>
                <w:sz w:val="22"/>
                <w:szCs w:val="22"/>
              </w:rPr>
              <w:t xml:space="preserve">TBD</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Submission Method</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Not Specified</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Total Page Limit</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See individual volumes</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Font</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Verify in RFP</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Font Size</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Verify in RFP</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Margins</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Verify in RFP</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Line Spacing</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Verify in RFP</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Page Size</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8.5" x 11" (Letter)</w:t>
            </w:r>
          </w:p>
        </w:tc>
      </w:tr>
    </w:tbl>
    <w:p>
      <w:pPr>
        <w:spacing w:after="200"/>
      </w:pPr>
    </w:p>
    <w:p>
      <w:r>
        <w:br w:type="page"/>
      </w:r>
    </w:p>
    <w:p>
      <w:pPr>
        <w:pStyle w:val="Heading2"/>
      </w:pPr>
      <w:r>
        <w:t xml:space="preserve">Annotation Color Code Legend</w:t>
      </w:r>
    </w:p>
    <w:p>
      <w:pPr>
        <w:spacing w:after="120"/>
      </w:pPr>
      <w:r>
        <w:rPr>
          <w:sz w:val="20"/>
          <w:szCs w:val="20"/>
        </w:rPr>
        <w:t xml:space="preserve">Requirements are color-coded by source to help writers understand what the customer is asking for (Section C), how to submit it (Section L), and how it will be scored (Section M).</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1"/>
              <w:left w:val="single" w:color="CCCCCC" w:sz="1"/>
              <w:bottom w:val="single" w:color="CCCCCC" w:sz="1"/>
              <w:right w:val="single" w:color="CCCCCC" w:sz="1"/>
            </w:tcBorders>
            <w:shd w:fill="D5D5D5" w:val="clear"/>
          </w:tcPr>
          <w:p>
            <w:r>
              <w:rPr>
                <w:b/>
                <w:bCs/>
                <w:sz w:val="20"/>
                <w:szCs w:val="20"/>
              </w:rPr>
              <w:t xml:space="preserve">Color</w:t>
            </w:r>
          </w:p>
        </w:tc>
        <w:tc>
          <w:tcPr>
            <w:tcW w:type="dxa" w:w="3000"/>
            <w:tcBorders>
              <w:top w:val="single" w:color="CCCCCC" w:sz="1"/>
              <w:left w:val="single" w:color="CCCCCC" w:sz="1"/>
              <w:bottom w:val="single" w:color="CCCCCC" w:sz="1"/>
              <w:right w:val="single" w:color="CCCCCC" w:sz="1"/>
            </w:tcBorders>
            <w:shd w:fill="D5D5D5" w:val="clear"/>
          </w:tcPr>
          <w:p>
            <w:r>
              <w:rPr>
                <w:b/>
                <w:bCs/>
                <w:sz w:val="20"/>
                <w:szCs w:val="20"/>
              </w:rPr>
              <w:t xml:space="preserve">Source</w:t>
            </w:r>
          </w:p>
        </w:tc>
        <w:tc>
          <w:tcPr>
            <w:tcW w:type="dxa" w:w="4560"/>
            <w:tcBorders>
              <w:top w:val="single" w:color="CCCCCC" w:sz="1"/>
              <w:left w:val="single" w:color="CCCCCC" w:sz="1"/>
              <w:bottom w:val="single" w:color="CCCCCC" w:sz="1"/>
              <w:right w:val="single" w:color="CCCCCC" w:sz="1"/>
            </w:tcBorders>
            <w:shd w:fill="D5D5D5" w:val="clear"/>
          </w:tcPr>
          <w:p>
            <w:r>
              <w:rPr>
                <w:b/>
                <w:bCs/>
                <w:sz w:val="20"/>
                <w:szCs w:val="20"/>
              </w:rPr>
              <w:t xml:space="preserve">Purpose</w:t>
            </w:r>
          </w:p>
        </w:tc>
      </w:tr>
      <w:tr>
        <w:tc>
          <w:tcPr>
            <w:tcW w:type="dxa" w:w="1800"/>
            <w:tcBorders>
              <w:top w:val="single" w:color="CCCCCC" w:sz="1"/>
              <w:left w:val="single" w:color="CCCCCC" w:sz="1"/>
              <w:bottom w:val="single" w:color="CCCCCC" w:sz="1"/>
              <w:right w:val="single" w:color="CCCCCC" w:sz="1"/>
            </w:tcBorders>
          </w:tcPr>
          <w:p>
            <w:r>
              <w:rPr>
                <w:b/>
                <w:bCs/>
                <w:color w:val="C00000"/>
                <w:sz w:val="20"/>
                <w:szCs w:val="20"/>
              </w:rPr>
              <w:t xml:space="preserve">RED</w:t>
            </w:r>
          </w:p>
        </w:tc>
        <w:tc>
          <w:tcPr>
            <w:tcW w:type="dxa" w:w="3000"/>
            <w:tcBorders>
              <w:top w:val="single" w:color="CCCCCC" w:sz="1"/>
              <w:left w:val="single" w:color="CCCCCC" w:sz="1"/>
              <w:bottom w:val="single" w:color="CCCCCC" w:sz="1"/>
              <w:right w:val="single" w:color="CCCCCC" w:sz="1"/>
            </w:tcBorders>
          </w:tcPr>
          <w:p>
            <w:r>
              <w:rPr>
                <w:sz w:val="20"/>
                <w:szCs w:val="20"/>
              </w:rPr>
              <w:t xml:space="preserve">Section L (Instructions)</w:t>
            </w:r>
          </w:p>
        </w:tc>
        <w:tc>
          <w:tcPr>
            <w:tcW w:type="dxa" w:w="4560"/>
            <w:tcBorders>
              <w:top w:val="single" w:color="CCCCCC" w:sz="1"/>
              <w:left w:val="single" w:color="CCCCCC" w:sz="1"/>
              <w:bottom w:val="single" w:color="CCCCCC" w:sz="1"/>
              <w:right w:val="single" w:color="CCCCCC" w:sz="1"/>
            </w:tcBorders>
          </w:tcPr>
          <w:p>
            <w:r>
              <w:rPr>
                <w:sz w:val="20"/>
                <w:szCs w:val="20"/>
              </w:rPr>
              <w:t xml:space="preserve">How to submit - format, content, page limits</w:t>
            </w:r>
          </w:p>
        </w:tc>
      </w:tr>
      <w:tr>
        <w:tc>
          <w:tcPr>
            <w:tcW w:type="dxa" w:w="1800"/>
            <w:tcBorders>
              <w:top w:val="single" w:color="CCCCCC" w:sz="1"/>
              <w:left w:val="single" w:color="CCCCCC" w:sz="1"/>
              <w:bottom w:val="single" w:color="CCCCCC" w:sz="1"/>
              <w:right w:val="single" w:color="CCCCCC" w:sz="1"/>
            </w:tcBorders>
          </w:tcPr>
          <w:p>
            <w:r>
              <w:rPr>
                <w:b/>
                <w:bCs/>
                <w:color w:val="0070C0"/>
                <w:sz w:val="20"/>
                <w:szCs w:val="20"/>
              </w:rPr>
              <w:t xml:space="preserve">BLUE</w:t>
            </w:r>
          </w:p>
        </w:tc>
        <w:tc>
          <w:tcPr>
            <w:tcW w:type="dxa" w:w="3000"/>
            <w:tcBorders>
              <w:top w:val="single" w:color="CCCCCC" w:sz="1"/>
              <w:left w:val="single" w:color="CCCCCC" w:sz="1"/>
              <w:bottom w:val="single" w:color="CCCCCC" w:sz="1"/>
              <w:right w:val="single" w:color="CCCCCC" w:sz="1"/>
            </w:tcBorders>
          </w:tcPr>
          <w:p>
            <w:r>
              <w:rPr>
                <w:sz w:val="20"/>
                <w:szCs w:val="20"/>
              </w:rPr>
              <w:t xml:space="preserve">Section M (Evaluation)</w:t>
            </w:r>
          </w:p>
        </w:tc>
        <w:tc>
          <w:tcPr>
            <w:tcW w:type="dxa" w:w="4560"/>
            <w:tcBorders>
              <w:top w:val="single" w:color="CCCCCC" w:sz="1"/>
              <w:left w:val="single" w:color="CCCCCC" w:sz="1"/>
              <w:bottom w:val="single" w:color="CCCCCC" w:sz="1"/>
              <w:right w:val="single" w:color="CCCCCC" w:sz="1"/>
            </w:tcBorders>
          </w:tcPr>
          <w:p>
            <w:r>
              <w:rPr>
                <w:sz w:val="20"/>
                <w:szCs w:val="20"/>
              </w:rPr>
              <w:t xml:space="preserve">How proposal will be scored - criteria, weights</w:t>
            </w:r>
          </w:p>
        </w:tc>
      </w:tr>
      <w:tr>
        <w:tc>
          <w:tcPr>
            <w:tcW w:type="dxa" w:w="1800"/>
            <w:tcBorders>
              <w:top w:val="single" w:color="CCCCCC" w:sz="1"/>
              <w:left w:val="single" w:color="CCCCCC" w:sz="1"/>
              <w:bottom w:val="single" w:color="CCCCCC" w:sz="1"/>
              <w:right w:val="single" w:color="CCCCCC" w:sz="1"/>
            </w:tcBorders>
          </w:tcPr>
          <w:p>
            <w:r>
              <w:rPr>
                <w:b/>
                <w:bCs/>
                <w:color w:val="7030A0"/>
                <w:sz w:val="20"/>
                <w:szCs w:val="20"/>
              </w:rPr>
              <w:t xml:space="preserve">PURPLE</w:t>
            </w:r>
          </w:p>
        </w:tc>
        <w:tc>
          <w:tcPr>
            <w:tcW w:type="dxa" w:w="3000"/>
            <w:tcBorders>
              <w:top w:val="single" w:color="CCCCCC" w:sz="1"/>
              <w:left w:val="single" w:color="CCCCCC" w:sz="1"/>
              <w:bottom w:val="single" w:color="CCCCCC" w:sz="1"/>
              <w:right w:val="single" w:color="CCCCCC" w:sz="1"/>
            </w:tcBorders>
          </w:tcPr>
          <w:p>
            <w:r>
              <w:rPr>
                <w:sz w:val="20"/>
                <w:szCs w:val="20"/>
              </w:rPr>
              <w:t xml:space="preserve">Section C/PWS/SOW</w:t>
            </w:r>
          </w:p>
        </w:tc>
        <w:tc>
          <w:tcPr>
            <w:tcW w:type="dxa" w:w="4560"/>
            <w:tcBorders>
              <w:top w:val="single" w:color="CCCCCC" w:sz="1"/>
              <w:left w:val="single" w:color="CCCCCC" w:sz="1"/>
              <w:bottom w:val="single" w:color="CCCCCC" w:sz="1"/>
              <w:right w:val="single" w:color="CCCCCC" w:sz="1"/>
            </w:tcBorders>
          </w:tcPr>
          <w:p>
            <w:r>
              <w:rPr>
                <w:sz w:val="20"/>
                <w:szCs w:val="20"/>
              </w:rPr>
              <w:t xml:space="preserve">What to do - technical requirements, scope</w:t>
            </w:r>
          </w:p>
        </w:tc>
      </w:tr>
      <w:tr>
        <w:tc>
          <w:tcPr>
            <w:tcW w:type="dxa" w:w="1800"/>
            <w:tcBorders>
              <w:top w:val="single" w:color="CCCCCC" w:sz="1"/>
              <w:left w:val="single" w:color="CCCCCC" w:sz="1"/>
              <w:bottom w:val="single" w:color="CCCCCC" w:sz="1"/>
              <w:right w:val="single" w:color="CCCCCC" w:sz="1"/>
            </w:tcBorders>
          </w:tcPr>
          <w:p>
            <w:r>
              <w:rPr>
                <w:b/>
                <w:bCs/>
                <w:color w:val="00B050"/>
                <w:sz w:val="20"/>
                <w:szCs w:val="20"/>
              </w:rPr>
              <w:t xml:space="preserve">GREEN</w:t>
            </w:r>
          </w:p>
        </w:tc>
        <w:tc>
          <w:tcPr>
            <w:tcW w:type="dxa" w:w="3000"/>
            <w:tcBorders>
              <w:top w:val="single" w:color="CCCCCC" w:sz="1"/>
              <w:left w:val="single" w:color="CCCCCC" w:sz="1"/>
              <w:bottom w:val="single" w:color="CCCCCC" w:sz="1"/>
              <w:right w:val="single" w:color="CCCCCC" w:sz="1"/>
            </w:tcBorders>
          </w:tcPr>
          <w:p>
            <w:r>
              <w:rPr>
                <w:sz w:val="20"/>
                <w:szCs w:val="20"/>
              </w:rPr>
              <w:t xml:space="preserve">Win Themes</w:t>
            </w:r>
          </w:p>
        </w:tc>
        <w:tc>
          <w:tcPr>
            <w:tcW w:type="dxa" w:w="4560"/>
            <w:tcBorders>
              <w:top w:val="single" w:color="CCCCCC" w:sz="1"/>
              <w:left w:val="single" w:color="CCCCCC" w:sz="1"/>
              <w:bottom w:val="single" w:color="CCCCCC" w:sz="1"/>
              <w:right w:val="single" w:color="CCCCCC" w:sz="1"/>
            </w:tcBorders>
          </w:tcPr>
          <w:p>
            <w:r>
              <w:rPr>
                <w:sz w:val="20"/>
                <w:szCs w:val="20"/>
              </w:rPr>
              <w:t xml:space="preserve">Discriminators and key messages to emphasize</w:t>
            </w:r>
          </w:p>
        </w:tc>
      </w:tr>
      <w:tr>
        <w:tc>
          <w:tcPr>
            <w:tcW w:type="dxa" w:w="1800"/>
            <w:tcBorders>
              <w:top w:val="single" w:color="CCCCCC" w:sz="1"/>
              <w:left w:val="single" w:color="CCCCCC" w:sz="1"/>
              <w:bottom w:val="single" w:color="CCCCCC" w:sz="1"/>
              <w:right w:val="single" w:color="CCCCCC" w:sz="1"/>
            </w:tcBorders>
          </w:tcPr>
          <w:p>
            <w:r>
              <w:rPr>
                <w:b/>
                <w:bCs/>
                <w:color w:val="ED7D31"/>
                <w:sz w:val="20"/>
                <w:szCs w:val="20"/>
              </w:rPr>
              <w:t xml:space="preserve">ORANGE</w:t>
            </w:r>
          </w:p>
        </w:tc>
        <w:tc>
          <w:tcPr>
            <w:tcW w:type="dxa" w:w="3000"/>
            <w:tcBorders>
              <w:top w:val="single" w:color="CCCCCC" w:sz="1"/>
              <w:left w:val="single" w:color="CCCCCC" w:sz="1"/>
              <w:bottom w:val="single" w:color="CCCCCC" w:sz="1"/>
              <w:right w:val="single" w:color="CCCCCC" w:sz="1"/>
            </w:tcBorders>
          </w:tcPr>
          <w:p>
            <w:r>
              <w:rPr>
                <w:sz w:val="20"/>
                <w:szCs w:val="20"/>
              </w:rPr>
              <w:t xml:space="preserve">Proof Points</w:t>
            </w:r>
          </w:p>
        </w:tc>
        <w:tc>
          <w:tcPr>
            <w:tcW w:type="dxa" w:w="4560"/>
            <w:tcBorders>
              <w:top w:val="single" w:color="CCCCCC" w:sz="1"/>
              <w:left w:val="single" w:color="CCCCCC" w:sz="1"/>
              <w:bottom w:val="single" w:color="CCCCCC" w:sz="1"/>
              <w:right w:val="single" w:color="CCCCCC" w:sz="1"/>
            </w:tcBorders>
          </w:tcPr>
          <w:p>
            <w:r>
              <w:rPr>
                <w:sz w:val="20"/>
                <w:szCs w:val="20"/>
              </w:rPr>
              <w:t xml:space="preserve">Evidence needed - past performance, metrics, certs</w:t>
            </w:r>
          </w:p>
        </w:tc>
      </w:tr>
      <w:tr>
        <w:tc>
          <w:tcPr>
            <w:tcW w:type="dxa" w:w="1800"/>
            <w:tcBorders>
              <w:top w:val="single" w:color="CCCCCC" w:sz="1"/>
              <w:left w:val="single" w:color="CCCCCC" w:sz="1"/>
              <w:bottom w:val="single" w:color="CCCCCC" w:sz="1"/>
              <w:right w:val="single" w:color="CCCCCC" w:sz="1"/>
            </w:tcBorders>
          </w:tcPr>
          <w:p>
            <w:r>
              <w:rPr>
                <w:b/>
                <w:bCs/>
                <w:color w:val="5B9BD5"/>
                <w:sz w:val="20"/>
                <w:szCs w:val="20"/>
              </w:rPr>
              <w:t xml:space="preserve">BLUE-GRAY</w:t>
            </w:r>
          </w:p>
        </w:tc>
        <w:tc>
          <w:tcPr>
            <w:tcW w:type="dxa" w:w="3000"/>
            <w:tcBorders>
              <w:top w:val="single" w:color="CCCCCC" w:sz="1"/>
              <w:left w:val="single" w:color="CCCCCC" w:sz="1"/>
              <w:bottom w:val="single" w:color="CCCCCC" w:sz="1"/>
              <w:right w:val="single" w:color="CCCCCC" w:sz="1"/>
            </w:tcBorders>
          </w:tcPr>
          <w:p>
            <w:r>
              <w:rPr>
                <w:sz w:val="20"/>
                <w:szCs w:val="20"/>
              </w:rPr>
              <w:t xml:space="preserve">Graphics</w:t>
            </w:r>
          </w:p>
        </w:tc>
        <w:tc>
          <w:tcPr>
            <w:tcW w:type="dxa" w:w="4560"/>
            <w:tcBorders>
              <w:top w:val="single" w:color="CCCCCC" w:sz="1"/>
              <w:left w:val="single" w:color="CCCCCC" w:sz="1"/>
              <w:bottom w:val="single" w:color="CCCCCC" w:sz="1"/>
              <w:right w:val="single" w:color="CCCCCC" w:sz="1"/>
            </w:tcBorders>
          </w:tcPr>
          <w:p>
            <w:r>
              <w:rPr>
                <w:sz w:val="20"/>
                <w:szCs w:val="20"/>
              </w:rPr>
              <w:t xml:space="preserve">Planned visuals with action captions</w:t>
            </w:r>
          </w:p>
        </w:tc>
      </w:tr>
    </w:tbl>
    <w:p>
      <w:pPr>
        <w:spacing w:after="300"/>
      </w:pPr>
    </w:p>
    <w:p>
      <w:pPr>
        <w:pStyle w:val="Heading1"/>
      </w:pPr>
      <w:r>
        <w:t xml:space="preserve">EVALUATION FACTORS SUMMARY</w:t>
      </w:r>
    </w:p>
    <w:p>
      <w:pPr>
        <w:spacing w:after="200"/>
      </w:pPr>
      <w:r>
        <w:rPr>
          <w:color w:val="0070C0"/>
          <w:sz w:val="20"/>
          <w:szCs w:val="20"/>
        </w:rPr>
        <w:t xml:space="preserve">Understanding how the proposal will be scored is critical. Structure content to directly address each evaluation factor.</w:t>
      </w:r>
    </w:p>
    <w:p>
      <w:r>
        <w:rPr>
          <w:b/>
          <w:bCs/>
          <w:color w:val="C00000"/>
          <w:sz w:val="22"/>
          <w:szCs w:val="22"/>
        </w:rPr>
        <w:t xml:space="preserve">⚠ No evaluation factors extracted. Review Section M of the RFP manually.</w:t>
      </w:r>
    </w:p>
    <w:p>
      <w:r>
        <w:br w:type="page"/>
      </w:r>
    </w:p>
    <w:p>
      <w:pPr>
        <w:pStyle w:val="Heading1"/>
      </w:pPr>
      <w:r>
        <w:t xml:space="preserve">VOLUME 1: TECHNICAL PROPOSAL</w:t>
      </w:r>
    </w:p>
    <w:p>
      <w:pPr>
        <w:spacing w:after="120"/>
      </w:pPr>
      <w:r>
        <w:rPr>
          <w:b/>
          <w:bCs/>
          <w:sz w:val="22"/>
          <w:szCs w:val="22"/>
        </w:rPr>
        <w:t xml:space="preserve">Page Limit: </w:t>
      </w:r>
      <w:r>
        <w:rPr>
          <w:color w:val="C00000"/>
          <w:sz w:val="22"/>
          <w:szCs w:val="22"/>
        </w:rPr>
        <w:t xml:space="preserve">No limit specified</w:t>
      </w:r>
    </w:p>
    <w:p>
      <w:pPr>
        <w:pStyle w:val="Heading2"/>
      </w:pPr>
      <w:r>
        <w:t xml:space="preserve">SEC-TECH-1. Technical Approach</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[REQ] Contractor supplies/delivered Medical Devices, Special Purpose Systems-Operational Technology (SPS-OT) and Research Scientific Computing Devices shall comply with all applicable Federal law, regulations, and VA policies. New developments require creation, testing, evaluation, and authorization in compliance with processes specified on the Specialized Device Cybersecurity Department Enterprise Risk...</w:t>
            </w:r>
          </w:p>
          <w:p>
            <w:pPr>
              <w:pStyle w:val="ListParagraph"/>
              <w:numPr>
                <w:ilvl w:val="0"/>
                <w:numId w:val="2"/>
              </w:numPr>
            </w:pPr>
            <w:r>
              <w:rPr>
                <w:i w:val="false"/>
                <w:iCs w:val="false"/>
                <w:color w:val="000000"/>
                <w:sz w:val="20"/>
                <w:szCs w:val="20"/>
              </w:rPr>
              <w:t xml:space="preserve">[REQ] The standard installation, operation, maintenance, updating and patching of software shall not alter the configuration settings from VA approved baseline configuration. Software developed for VA must be compatible with VA enterprise installer services and install to the default “program files” directory with silently install and uninstall. The Contractor shall perform testing of all updates and pa...</w:t>
            </w:r>
          </w:p>
          <w:p>
            <w:pPr>
              <w:pStyle w:val="ListParagraph"/>
              <w:numPr>
                <w:ilvl w:val="0"/>
                <w:numId w:val="2"/>
              </w:numPr>
            </w:pPr>
            <w:r>
              <w:rPr>
                <w:i w:val="false"/>
                <w:iCs w:val="false"/>
                <w:color w:val="000000"/>
                <w:sz w:val="20"/>
                <w:szCs w:val="20"/>
              </w:rPr>
              <w:t xml:space="preserve">[REQ] The Contractor (including producers and resellers) shall comply with Office of Management and Budget (OMB) M-22-18 and M-23-16 when using third-party software on VA information systems or otherwise affecting the VA information. This includes new software purchases and software renewals for software developed or modified by major version change after the issuance date of M-22-18 (September 14, 2022...</w:t>
            </w:r>
          </w:p>
          <w:p>
            <w:pPr>
              <w:pStyle w:val="ListParagraph"/>
              <w:numPr>
                <w:ilvl w:val="0"/>
                <w:numId w:val="2"/>
              </w:numPr>
            </w:pPr>
            <w:r>
              <w:rPr>
                <w:i w:val="false"/>
                <w:iCs w:val="false"/>
                <w:color w:val="000000"/>
                <w:sz w:val="20"/>
                <w:szCs w:val="20"/>
              </w:rPr>
              <w:t xml:space="preserve">[REQ] The Contractor shall comply with all Federal laws, regulations, and VA policies for Information systems (cloud and non-cloud) that are hosted, operated, maintained, or used on behalf of VA at non-VA facilities. Security controls for collecting, processing, transmitting, and storing of VA sensitive information, must be in place. The controls will be tested by VA or a VA sanctioned 3PAO and approved...</w:t>
            </w:r>
          </w:p>
          <w:p>
            <w:pPr>
              <w:pStyle w:val="ListParagraph"/>
              <w:numPr>
                <w:ilvl w:val="0"/>
                <w:numId w:val="2"/>
              </w:numPr>
            </w:pPr>
            <w:r>
              <w:rPr>
                <w:i w:val="false"/>
                <w:iCs w:val="false"/>
                <w:color w:val="000000"/>
                <w:sz w:val="20"/>
                <w:szCs w:val="20"/>
              </w:rPr>
              <w:t xml:space="preserve">[REQ] (b) General. Contractors, subcontractors, their employees, third-parties, and business associates with access to VA information, information systems, or information technology (IT) or providing and accessing IT-related goods and services, shall adhere to VA Directive 6500, VA Cybersecurity Program, and the directives and handbooks in the VA 6500 series related to VA information (including VA sensi...</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E4D5F0" w:val="clear"/>
          </w:tcPr>
          <w:p>
            <w:pPr>
              <w:spacing w:after="80"/>
            </w:pPr>
            <w:r>
              <w:rPr>
                <w:b/>
                <w:bCs/>
                <w:color w:val="7030A0"/>
                <w:sz w:val="18"/>
                <w:szCs w:val="18"/>
                <w:smallCaps/>
              </w:rPr>
              <w:t xml:space="preserve">SECTION C/PWS - TECHNICAL REQUIREMENTS</w:t>
            </w:r>
          </w:p>
          <w:p>
            <w:pPr>
              <w:pStyle w:val="ListParagraph"/>
              <w:numPr>
                <w:ilvl w:val="0"/>
                <w:numId w:val="2"/>
              </w:numPr>
            </w:pPr>
            <w:r>
              <w:rPr>
                <w:i w:val="false"/>
                <w:iCs w:val="false"/>
                <w:color w:val="000000"/>
                <w:sz w:val="20"/>
                <w:szCs w:val="20"/>
              </w:rPr>
              <w:t xml:space="preserve">[REQ] The Contractor shall provide a ROISVIE delivery system, following a phased implementation approach. The Contractor shall develop a comprehensive Deployment Plan that encompasses the scope, schedule, and risk management strategies. Upon approval, the Contractor shall coordinate closely with the government’s technical teams to ensure seamless integration. Regular progress updates shall be provided to the VA project management team, addressing any issues or risks that may arise during the implementation process.</w:t>
            </w:r>
          </w:p>
          <w:p>
            <w:pPr>
              <w:pStyle w:val="ListParagraph"/>
              <w:numPr>
                <w:ilvl w:val="0"/>
                <w:numId w:val="2"/>
              </w:numPr>
            </w:pPr>
            <w:r>
              <w:rPr>
                <w:i w:val="false"/>
                <w:iCs w:val="false"/>
                <w:color w:val="000000"/>
                <w:sz w:val="20"/>
                <w:szCs w:val="20"/>
              </w:rPr>
              <w:t xml:space="preserve">[REQ] The Contractor shall provide a Test Plan and testing support to the ROISVIE systems. The Contractor shall provide implementation, configuration, and change management services that are consistent with VA’s standard implementation and deployment methodology and configure to meet all VA’s requirements as stipulated in this PD. The Contractor shall provide sustainment support of new radiation oncology information systems virtual infrastructure environment (ROISVIE) to include hardware and software upgrade through the contract POP.  The infrastructure needs to be able to host per Durham VAMC.</w:t>
            </w:r>
          </w:p>
          <w:p>
            <w:pPr>
              <w:pStyle w:val="ListParagraph"/>
              <w:numPr>
                <w:ilvl w:val="0"/>
                <w:numId w:val="2"/>
              </w:numPr>
            </w:pPr>
            <w:r>
              <w:rPr>
                <w:i w:val="false"/>
                <w:iCs w:val="false"/>
                <w:color w:val="000000"/>
                <w:sz w:val="20"/>
                <w:szCs w:val="20"/>
              </w:rPr>
              <w:t xml:space="preserve">[REQ] The Contractor shall maintain everything (e.g., backups, hardware, software, network equipment, etc.) needed to ensure all underlying systems and supporting services, hardware, and software (e.g., OS, Network Management Systems, etc.) operate at four nines (99.99%) uptime availability in support of the hosted applications. VA will be responsible for the Services and Applications themselves, but the Contractor shall provide support to the Government team (may include support contractors) responsible for those Services and Applications. The Contractor shall follow best practices and recommendations not to exceed the scope of this contract.</w:t>
            </w:r>
          </w:p>
          <w:p>
            <w:pPr>
              <w:pStyle w:val="ListParagraph"/>
              <w:numPr>
                <w:ilvl w:val="0"/>
                <w:numId w:val="2"/>
              </w:numPr>
            </w:pPr>
            <w:r>
              <w:rPr>
                <w:i w:val="false"/>
                <w:iCs w:val="false"/>
                <w:color w:val="000000"/>
                <w:sz w:val="20"/>
                <w:szCs w:val="20"/>
              </w:rPr>
              <w:t xml:space="preserve">[REQ] The Contractor solution shall support IPv6-Only based upon the memo issued by the Office of Management and Budget (OMB) on November 19, 2020 (https://www.whitehouse.gov/wp-content/uploads/2020/11/M-21-07.pdf). Which defines IPv6-only as the state of an operational system or service when IPv4 protocol functions (addressing, packet forwarding) are not in use. The NIST USGv6 profile defines technical requirements for a product to be capable of operating in IPv6-Only environments.  IPv6-Only technology, in accordance with the USGv6 Program (https://www.nist.gov/programs-projects/usgv6-program/usgv6-revision-1), NIST Special Publication (SP) 500-267B Revision 1 “USGv6 Profile” (https://doi.org/10.6028/NIST.SP.500-267Br1), and NIST SP 800-119 “Guidelines for the Secure Deployment of IPv6” (https://doi.org/10.6028/NIST.SP.800-119), compliance shall be included in all IT infrastructures, application designs, application development, operational systems and sub-systems, and their integration.  In addition to the above requirements, all devices, applications, and systems shall support all applicable functionality on native IPv6-Only as well as dual stack (IPv6 / IPv4) connectivity without additional memory or other resources being provided by the Government, so that they can function in a mixed environment.  All public/external facing servers and services (e.g., web, email, DNS, ISP services, etc.) shall support native IPv6-Only and dual stack (IPv6 / IPv4) users and all internal infrastructure and applications shall support using native IPv6-Only and dual stack (IPv6 / IPv4) for all functionality and operations.</w:t>
            </w:r>
          </w:p>
          <w:p>
            <w:pPr>
              <w:pStyle w:val="ListParagraph"/>
              <w:numPr>
                <w:ilvl w:val="0"/>
                <w:numId w:val="2"/>
              </w:numPr>
            </w:pPr>
            <w:r>
              <w:rPr>
                <w:i w:val="false"/>
                <w:iCs w:val="false"/>
                <w:color w:val="000000"/>
                <w:sz w:val="20"/>
                <w:szCs w:val="20"/>
              </w:rPr>
              <w:t xml:space="preserve">[REQ] Contractor supplies/delivered Medical Devices, Special Purpose Systems-Operational Technology (SPS-OT) and Research Scientific Computing Devices shall comply with all applicable Federal law, regulations, and VA policies. New developments require creation, testing, evaluation, and authorization in compliance with processes specified on the Specialized Device Cybersecurity Department Enterprise Risk Management (SDCD-ERM) Portal, VA Directive 6550, Pre-Procurement Assessment and Implementation of Medical Devices/Systems, VA Handbook 6500, and the VA Information Security Knowledge Service. Deviations from Federal law, regulations, and VA Policy are identified and documented as part of VA Directive 6550 and/or the VA Enterprise Risk Analysis (ERA) processes for Speci</w:t>
            </w:r>
          </w:p>
          <w:p>
            <w:pPr>
              <w:pStyle w:val="ListParagraph"/>
              <w:numPr>
                <w:ilvl w:val="0"/>
                <w:numId w:val="2"/>
              </w:numPr>
            </w:pPr>
            <w:r>
              <w:rPr>
                <w:i w:val="false"/>
                <w:iCs w:val="false"/>
                <w:color w:val="000000"/>
                <w:sz w:val="20"/>
                <w:szCs w:val="20"/>
              </w:rPr>
              <w:t xml:space="preserve">[REQ] this with the VA. Varian has agreed to move away from the VA but allow the 
subcontractor to manage the infrastructure stay in place with a SDVOSB that they 
currently work with. Now this system is near end of life and needs a new system 
purchased prior to the end of December to be built and replaced while maintaining 
the Varian infrastructure already set up ensures updates are maintained, 
vulnerabilities are addressed, and backups are secured. Without implementing this 
system Radiation Oncology is at risk of losing all backup data for the delivery of life-
saving cancer treatments to Veterans. These proprietary systems manage essential 
functions such as treatment planning, radiation delivery, quality assurance, and 
patient record-keeping and radiation specific data. The loss of this data could cause 
significant clinical harm and potentially death to Veterans if the new system is not 
procured through this method which would allow quick and proven successful 
migration and implementation.   
The proposed source for this acquisition VFI is a certified SDVOSB and is 
technically qualified to take over the service of the Legacy Solution. The existing 
support ends December 31, 2025, however, there is continued need for this service. 
VFI has been the servicing subcontractor on the original competitive task order and 
has performed successfully to date.  The contractor on the original competitive task 
order will no longer be supporting the Software Services as a prime vendor and will 
be transitioning support to VFI. 
This award is in the best interest of the Government because the current prime 
vendor, Varian, is discontinuing support of this service after December 31, 2025. 
The subcontractor, VFI, has been doing the work during the initial contract with the 
current prime vendor. The subcontractor can continue with the same level of service. 
VFI has extensive experience working specifically with the legacy solution. 
Additionally, VFI has extensive experience working with VA cybersecurity 
requirements and VA medical device and equipment requirements. Furthermore, VFI 
is willing and able to provide the replacement solution, project plan, and ongoing 
support required to maintain compliance with the evolving VA security standards.</w:t>
            </w:r>
          </w:p>
          <w:p>
            <w:pPr>
              <w:pStyle w:val="ListParagraph"/>
              <w:numPr>
                <w:ilvl w:val="0"/>
                <w:numId w:val="2"/>
              </w:numPr>
            </w:pPr>
            <w:r>
              <w:rPr>
                <w:i w:val="false"/>
                <w:iCs w:val="false"/>
                <w:color w:val="000000"/>
                <w:sz w:val="20"/>
                <w:szCs w:val="20"/>
              </w:rPr>
              <w:t xml:space="preserve">[REQ] Contractor supplies/delivered Medical Devices, Special Purpose Systems-Operational Technology (SPS-OT) and Research Scientific Computing Devices shall comply with all applicable Federal law, regulations, and VA policies. New developments require creation, testing, evaluation, and authorization in compliance with processes specified on the Specialized Device Cybersecurity Department Enterprise Risk Management (SDCD-ERM) Portal, VA Directive 6550, Pre-Procurement Assessment and Implementation of Medical Devices/Systems, VA Handbook 6500, and the VA Information Security Knowledge Service. Deviations from Federal law, regulations, and VA Policy are identified and documented as part of VA Directive 6550 and/or the VA Enterprise Risk Analysis (ERA) processes for Specialized Devices/Systems processes.</w:t>
            </w:r>
          </w:p>
          <w:p>
            <w:pPr>
              <w:pStyle w:val="ListParagraph"/>
              <w:numPr>
                <w:ilvl w:val="0"/>
                <w:numId w:val="2"/>
              </w:numPr>
            </w:pPr>
            <w:r>
              <w:rPr>
                <w:i w:val="false"/>
                <w:iCs w:val="false"/>
                <w:color w:val="000000"/>
                <w:sz w:val="20"/>
                <w:szCs w:val="20"/>
              </w:rPr>
              <w:t xml:space="preserve">[REQ] VA has established minimum mandatory security requirements and requires that any network connected software system or service must meet the VA Critical Security Controls as outlined in the VA Memorandum, “VA Security Controls”, https://www.voa.va.gov/DocumentView.aspx?DocumentID=5010.  VA Critical Security Controls identify the minimum mandatory requirements that must be implemented across all VA enterprise infrastructure, cloud computing environments, information systems, networks, and specialized devices (medical devices/systems, special-purpose systems, and research scientific computing devices) that process, store, and/or transmit VA data.  Effective July 1, 2025, the Contractor shall implement these VA Critical Security Controls, within any network connected software system or service prior to being authorized for use in the VA.  This functional requirement is not negotiable, and Plan of Action &amp; Milestones (POAM) will not be accepted in the event these controls cannot be implemented for new systems.  Critical Security Controls are intended to increase VA’s security posture and provide security and privacy risk visibility into the VA network and is not a new requirement.  The Contractor’s failure to maintain these VA Critical Controls after implementation will result in VA discontinuing the use of the system.</w:t>
            </w:r>
          </w:p>
          <w:p>
            <w:pPr>
              <w:pStyle w:val="ListParagraph"/>
              <w:numPr>
                <w:ilvl w:val="0"/>
                <w:numId w:val="2"/>
              </w:numPr>
            </w:pPr>
            <w:r>
              <w:rPr>
                <w:i w:val="false"/>
                <w:iCs w:val="false"/>
                <w:color w:val="000000"/>
                <w:sz w:val="20"/>
                <w:szCs w:val="20"/>
              </w:rPr>
              <w:t xml:space="preserve">[REQ] The Contractor shall design, develop, and implement security and privacy controls in accordance with the provisions of VA security system development life cycle outlined in NIST 800-37, Risk Management Framework for Information Systems and Organizations: A System Life Cycle Approach for Security and Privacy, VA Directive and Handbook 6500, and VA Handbook 6517.</w:t>
            </w:r>
          </w:p>
          <w:p>
            <w:pPr>
              <w:pStyle w:val="ListParagraph"/>
              <w:numPr>
                <w:ilvl w:val="0"/>
                <w:numId w:val="2"/>
              </w:numPr>
            </w:pPr>
            <w:r>
              <w:rPr>
                <w:i w:val="false"/>
                <w:iCs w:val="false"/>
                <w:color w:val="000000"/>
                <w:sz w:val="20"/>
                <w:szCs w:val="20"/>
              </w:rPr>
              <w:t xml:space="preserve">[REQ] The Contractor shall support local on-site Disaster Recovery (DR) testing as deemed necessary by the ROISVIE PM. The Contractor shall develop a Disaster Recovery Plan (DRP) and Continuity of Operations (COOP) maintained by Durham Information Technology Center (DITC) and in accordance with VA Handbook 6500. The Contractor shall also support the transition to Mission Critical status in the DR environment. In an event that results in system crash and potential data loss, the Contractor shall support Durham personnel in roll-backs and other VA approved COOP procedures.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SEC-TECH-2. Methodology and Solution Design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[REQ] Contractor supplies/delivered Medical Devices, Special Purpose Systems-Operational Technology (SPS-OT) and Research Scientific Computing Devices shall comply with all applicable Federal law, regulations, and VA policies. New developments require creation, testing, evaluation, and authorization in compliance with processes specified on the Specialized Device Cybersecurity Department Enterprise Risk...</w:t>
            </w:r>
          </w:p>
          <w:p>
            <w:pPr>
              <w:pStyle w:val="ListParagraph"/>
              <w:numPr>
                <w:ilvl w:val="0"/>
                <w:numId w:val="2"/>
              </w:numPr>
            </w:pPr>
            <w:r>
              <w:rPr>
                <w:i w:val="false"/>
                <w:iCs w:val="false"/>
                <w:color w:val="000000"/>
                <w:sz w:val="20"/>
                <w:szCs w:val="20"/>
              </w:rPr>
              <w:t xml:space="preserve">[REQ] The standard installation, operation, maintenance, updating and patching of software shall not alter the configuration settings from VA approved baseline configuration. Software developed for VA must be compatible with VA enterprise installer services and install to the default “program files” directory with silently install and uninstall. The Contractor shall perform testing of all updates and pa...</w:t>
            </w:r>
          </w:p>
          <w:p>
            <w:pPr>
              <w:pStyle w:val="ListParagraph"/>
              <w:numPr>
                <w:ilvl w:val="0"/>
                <w:numId w:val="2"/>
              </w:numPr>
            </w:pPr>
            <w:r>
              <w:rPr>
                <w:i w:val="false"/>
                <w:iCs w:val="false"/>
                <w:color w:val="000000"/>
                <w:sz w:val="20"/>
                <w:szCs w:val="20"/>
              </w:rPr>
              <w:t xml:space="preserve">[REQ] The Contractor (including producers and resellers) shall comply with Office of Management and Budget (OMB) M-22-18 and M-23-16 when using third-party software on VA information systems or otherwise affecting the VA information. This includes new software purchases and software renewals for software developed or modified by major version change after the issuance date of M-22-18 (September 14, 2022...</w:t>
            </w:r>
          </w:p>
          <w:p>
            <w:pPr>
              <w:pStyle w:val="ListParagraph"/>
              <w:numPr>
                <w:ilvl w:val="0"/>
                <w:numId w:val="2"/>
              </w:numPr>
            </w:pPr>
            <w:r>
              <w:rPr>
                <w:i w:val="false"/>
                <w:iCs w:val="false"/>
                <w:color w:val="000000"/>
                <w:sz w:val="20"/>
                <w:szCs w:val="20"/>
              </w:rPr>
              <w:t xml:space="preserve">[REQ] The Contractor shall comply with all Federal laws, regulations, and VA policies for Information systems (cloud and non-cloud) that are hosted, operated, maintained, or used on behalf of VA at non-VA facilities. Security controls for collecting, processing, transmitting, and storing of VA sensitive information, must be in place. The controls will be tested by VA or a VA sanctioned 3PAO and approved...</w:t>
            </w:r>
          </w:p>
          <w:p>
            <w:pPr>
              <w:pStyle w:val="ListParagraph"/>
              <w:numPr>
                <w:ilvl w:val="0"/>
                <w:numId w:val="2"/>
              </w:numPr>
            </w:pPr>
            <w:r>
              <w:rPr>
                <w:i w:val="false"/>
                <w:iCs w:val="false"/>
                <w:color w:val="000000"/>
                <w:sz w:val="20"/>
                <w:szCs w:val="20"/>
              </w:rPr>
              <w:t xml:space="preserve">[REQ] (b) General. Contractors, subcontractors, their employees, third-parties, and business associates with access to VA information, information systems, or information technology (IT) or providing and accessing IT-related goods and services, shall adhere to VA Directive 6500, VA Cybersecurity Program, and the directives and handbooks in the VA 6500 series related to VA information (including VA sensi...</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E4D5F0" w:val="clear"/>
          </w:tcPr>
          <w:p>
            <w:pPr>
              <w:spacing w:after="80"/>
            </w:pPr>
            <w:r>
              <w:rPr>
                <w:b/>
                <w:bCs/>
                <w:color w:val="7030A0"/>
                <w:sz w:val="18"/>
                <w:szCs w:val="18"/>
                <w:smallCaps/>
              </w:rPr>
              <w:t xml:space="preserve">SECTION C/PWS - TECHNICAL REQUIREMENTS</w:t>
            </w:r>
          </w:p>
          <w:p>
            <w:pPr>
              <w:pStyle w:val="ListParagraph"/>
              <w:numPr>
                <w:ilvl w:val="0"/>
                <w:numId w:val="2"/>
              </w:numPr>
            </w:pPr>
            <w:r>
              <w:rPr>
                <w:i w:val="false"/>
                <w:iCs w:val="false"/>
                <w:color w:val="000000"/>
                <w:sz w:val="20"/>
                <w:szCs w:val="20"/>
              </w:rPr>
              <w:t xml:space="preserve">[REQ] The Contractor shall provide a ROISVIE delivery system, following a phased implementation approach. The Contractor shall develop a comprehensive Deployment Plan that encompasses the scope, schedule, and risk management strategies. Upon approval, the Contractor shall coordinate closely with the government’s technical teams to ensure seamless integration. Regular progress updates shall be provided to the VA project management team, addressing any issues or risks that may arise during the implementation process.</w:t>
            </w:r>
          </w:p>
          <w:p>
            <w:pPr>
              <w:pStyle w:val="ListParagraph"/>
              <w:numPr>
                <w:ilvl w:val="0"/>
                <w:numId w:val="2"/>
              </w:numPr>
            </w:pPr>
            <w:r>
              <w:rPr>
                <w:i w:val="false"/>
                <w:iCs w:val="false"/>
                <w:color w:val="000000"/>
                <w:sz w:val="20"/>
                <w:szCs w:val="20"/>
              </w:rPr>
              <w:t xml:space="preserve">[REQ] The Contractor shall provide a Test Plan and testing support to the ROISVIE systems. The Contractor shall provide implementation, configuration, and change management services that are consistent with VA’s standard implementation and deployment methodology and configure to meet all VA’s requirements as stipulated in this PD. The Contractor shall provide sustainment support of new radiation oncology information systems virtual infrastructure environment (ROISVIE) to include hardware and software upgrade through the contract POP.  The infrastructure needs to be able to host per Durham VAMC.</w:t>
            </w:r>
          </w:p>
          <w:p>
            <w:pPr>
              <w:pStyle w:val="ListParagraph"/>
              <w:numPr>
                <w:ilvl w:val="0"/>
                <w:numId w:val="2"/>
              </w:numPr>
            </w:pPr>
            <w:r>
              <w:rPr>
                <w:i w:val="false"/>
                <w:iCs w:val="false"/>
                <w:color w:val="000000"/>
                <w:sz w:val="20"/>
                <w:szCs w:val="20"/>
              </w:rPr>
              <w:t xml:space="preserve">[REQ] The Contractor shall maintain everything (e.g., backups, hardware, software, network equipment, etc.) needed to ensure all underlying systems and supporting services, hardware, and software (e.g., OS, Network Management Systems, etc.) operate at four nines (99.99%) uptime availability in support of the hosted applications. VA will be responsible for the Services and Applications themselves, but the Contractor shall provide support to the Government team (may include support contractors) responsible for those Services and Applications. The Contractor shall follow best practices and recommendations not to exceed the scope of this contract.</w:t>
            </w:r>
          </w:p>
          <w:p>
            <w:pPr>
              <w:pStyle w:val="ListParagraph"/>
              <w:numPr>
                <w:ilvl w:val="0"/>
                <w:numId w:val="2"/>
              </w:numPr>
            </w:pPr>
            <w:r>
              <w:rPr>
                <w:i w:val="false"/>
                <w:iCs w:val="false"/>
                <w:color w:val="000000"/>
                <w:sz w:val="20"/>
                <w:szCs w:val="20"/>
              </w:rPr>
              <w:t xml:space="preserve">[REQ] The Contractor solution shall support IPv6-Only based upon the memo issued by the Office of Management and Budget (OMB) on November 19, 2020 (https://www.whitehouse.gov/wp-content/uploads/2020/11/M-21-07.pdf). Which defines IPv6-only as the state of an operational system or service when IPv4 protocol functions (addressing, packet forwarding) are not in use. The NIST USGv6 profile defines technical requirements for a product to be capable of operating in IPv6-Only environments.  IPv6-Only technology, in accordance with the USGv6 Program (https://www.nist.gov/programs-projects/usgv6-program/usgv6-revision-1), NIST Special Publication (SP) 500-267B Revision 1 “USGv6 Profile” (https://doi.org/10.6028/NIST.SP.500-267Br1), and NIST SP 800-119 “Guidelines for the Secure Deployment of IPv6” (https://doi.org/10.6028/NIST.SP.800-119), compliance shall be included in all IT infrastructures, application designs, application development, operational systems and sub-systems, and their integration.  In addition to the above requirements, all devices, applications, and systems shall support all applicable functionality on native IPv6-Only as well as dual stack (IPv6 / IPv4) connectivity without additional memory or other resources being provided by the Government, so that they can function in a mixed environment.  All public/external facing servers and services (e.g., web, email, DNS, ISP services, etc.) shall support native IPv6-Only and dual stack (IPv6 / IPv4) users and all internal infrastructure and applications shall support using native IPv6-Only and dual stack (IPv6 / IPv4) for all functionality and operations.</w:t>
            </w:r>
          </w:p>
          <w:p>
            <w:pPr>
              <w:pStyle w:val="ListParagraph"/>
              <w:numPr>
                <w:ilvl w:val="0"/>
                <w:numId w:val="2"/>
              </w:numPr>
            </w:pPr>
            <w:r>
              <w:rPr>
                <w:i w:val="false"/>
                <w:iCs w:val="false"/>
                <w:color w:val="000000"/>
                <w:sz w:val="20"/>
                <w:szCs w:val="20"/>
              </w:rPr>
              <w:t xml:space="preserve">[REQ] Contractor supplies/delivered Medical Devices, Special Purpose Systems-Operational Technology (SPS-OT) and Research Scientific Computing Devices shall comply with all applicable Federal law, regulations, and VA policies. New developments require creation, testing, evaluation, and authorization in compliance with processes specified on the Specialized Device Cybersecurity Department Enterprise Risk Management (SDCD-ERM) Portal, VA Directive 6550, Pre-Procurement Assessment and Implementation of Medical Devices/Systems, VA Handbook 6500, and the VA Information Security Knowledge Service. Deviations from Federal law, regulations, and VA Policy are identified and documented as part of VA Directive 6550 and/or the VA Enterprise Risk Analysis (ERA) processes for Speci</w:t>
            </w:r>
          </w:p>
          <w:p>
            <w:pPr>
              <w:pStyle w:val="ListParagraph"/>
              <w:numPr>
                <w:ilvl w:val="0"/>
                <w:numId w:val="2"/>
              </w:numPr>
            </w:pPr>
            <w:r>
              <w:rPr>
                <w:i w:val="false"/>
                <w:iCs w:val="false"/>
                <w:color w:val="000000"/>
                <w:sz w:val="20"/>
                <w:szCs w:val="20"/>
              </w:rPr>
              <w:t xml:space="preserve">[REQ] this with the VA. Varian has agreed to move away from the VA but allow the 
subcontractor to manage the infrastructure stay in place with a SDVOSB that they 
currently work with. Now this system is near end of life and needs a new system 
purchased prior to the end of December to be built and replaced while maintaining 
the Varian infrastructure already set up ensures updates are maintained, 
vulnerabilities are addressed, and backups are secured. Without implementing this 
system Radiation Oncology is at risk of losing all backup data for the delivery of life-
saving cancer treatments to Veterans. These proprietary systems manage essential 
functions such as treatment planning, radiation delivery, quality assurance, and 
patient record-keeping and radiation specific data. The loss of this data could cause 
significant clinical harm and potentially death to Veterans if the new system is not 
procured through this method which would allow quick and proven successful 
migration and implementation.   
The proposed source for this acquisition VFI is a certified SDVOSB and is 
technically qualified to take over the service of the Legacy Solution. The existing 
support ends December 31, 2025, however, there is continued need for this service. 
VFI has been the servicing subcontractor on the original competitive task order and 
has performed successfully to date.  The contractor on the original competitive task 
order will no longer be supporting the Software Services as a prime vendor and will 
be transitioning support to VFI. 
This award is in the best interest of the Government because the current prime 
vendor, Varian, is discontinuing support of this service after December 31, 2025. 
The subcontractor, VFI, has been doing the work during the initial contract with the 
current prime vendor. The subcontractor can continue with the same level of service. 
VFI has extensive experience working specifically with the legacy solution. 
Additionally, VFI has extensive experience working with VA cybersecurity 
requirements and VA medical device and equipment requirements. Furthermore, VFI 
is willing and able to provide the replacement solution, project plan, and ongoing 
support required to maintain compliance with the evolving VA security standards.</w:t>
            </w:r>
          </w:p>
          <w:p>
            <w:pPr>
              <w:pStyle w:val="ListParagraph"/>
              <w:numPr>
                <w:ilvl w:val="0"/>
                <w:numId w:val="2"/>
              </w:numPr>
            </w:pPr>
            <w:r>
              <w:rPr>
                <w:i w:val="false"/>
                <w:iCs w:val="false"/>
                <w:color w:val="000000"/>
                <w:sz w:val="20"/>
                <w:szCs w:val="20"/>
              </w:rPr>
              <w:t xml:space="preserve">[REQ] Contractor supplies/delivered Medical Devices, Special Purpose Systems-Operational Technology (SPS-OT) and Research Scientific Computing Devices shall comply with all applicable Federal law, regulations, and VA policies. New developments require creation, testing, evaluation, and authorization in compliance with processes specified on the Specialized Device Cybersecurity Department Enterprise Risk Management (SDCD-ERM) Portal, VA Directive 6550, Pre-Procurement Assessment and Implementation of Medical Devices/Systems, VA Handbook 6500, and the VA Information Security Knowledge Service. Deviations from Federal law, regulations, and VA Policy are identified and documented as part of VA Directive 6550 and/or the VA Enterprise Risk Analysis (ERA) processes for Specialized Devices/Systems processes.</w:t>
            </w:r>
          </w:p>
          <w:p>
            <w:pPr>
              <w:pStyle w:val="ListParagraph"/>
              <w:numPr>
                <w:ilvl w:val="0"/>
                <w:numId w:val="2"/>
              </w:numPr>
            </w:pPr>
            <w:r>
              <w:rPr>
                <w:i w:val="false"/>
                <w:iCs w:val="false"/>
                <w:color w:val="000000"/>
                <w:sz w:val="20"/>
                <w:szCs w:val="20"/>
              </w:rPr>
              <w:t xml:space="preserve">[REQ] VA has established minimum mandatory security requirements and requires that any network connected software system or service must meet the VA Critical Security Controls as outlined in the VA Memorandum, “VA Security Controls”, https://www.voa.va.gov/DocumentView.aspx?DocumentID=5010.  VA Critical Security Controls identify the minimum mandatory requirements that must be implemented across all VA enterprise infrastructure, cloud computing environments, information systems, networks, and specialized devices (medical devices/systems, special-purpose systems, and research scientific computing devices) that process, store, and/or transmit VA data.  Effective July 1, 2025, the Contractor shall implement these VA Critical Security Controls, within any network connected software system or service prior to being authorized for use in the VA.  This functional requirement is not negotiable, and Plan of Action &amp; Milestones (POAM) will not be accepted in the event these controls cannot be implemented for new systems.  Critical Security Controls are intended to increase VA’s security posture and provide security and privacy risk visibility into the VA network and is not a new requirement.  The Contractor’s failure to maintain these VA Critical Controls after implementation will result in VA discontinuing the use of the system.</w:t>
            </w:r>
          </w:p>
          <w:p>
            <w:pPr>
              <w:pStyle w:val="ListParagraph"/>
              <w:numPr>
                <w:ilvl w:val="0"/>
                <w:numId w:val="2"/>
              </w:numPr>
            </w:pPr>
            <w:r>
              <w:rPr>
                <w:i w:val="false"/>
                <w:iCs w:val="false"/>
                <w:color w:val="000000"/>
                <w:sz w:val="20"/>
                <w:szCs w:val="20"/>
              </w:rPr>
              <w:t xml:space="preserve">[REQ] The Contractor shall design, develop, and implement security and privacy controls in accordance with the provisions of VA security system development life cycle outlined in NIST 800-37, Risk Management Framework for Information Systems and Organizations: A System Life Cycle Approach for Security and Privacy, VA Directive and Handbook 6500, and VA Handbook 6517.</w:t>
            </w:r>
          </w:p>
          <w:p>
            <w:pPr>
              <w:pStyle w:val="ListParagraph"/>
              <w:numPr>
                <w:ilvl w:val="0"/>
                <w:numId w:val="2"/>
              </w:numPr>
            </w:pPr>
            <w:r>
              <w:rPr>
                <w:i w:val="false"/>
                <w:iCs w:val="false"/>
                <w:color w:val="000000"/>
                <w:sz w:val="20"/>
                <w:szCs w:val="20"/>
              </w:rPr>
              <w:t xml:space="preserve">[REQ] The Contractor shall support local on-site Disaster Recovery (DR) testing as deemed necessary by the ROISVIE PM. The Contractor shall develop a Disaster Recovery Plan (DRP) and Continuity of Operations (COOP) maintained by Durham Information Technology Center (DITC) and in accordance with VA Handbook 6500. The Contractor shall also support the transition to Mission Critical status in the DR environment. In an event that results in system crash and potential data loss, the Contractor shall support Durham personnel in roll-backs and other VA approved COOP procedures.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SEC-TECH-3. Innovation and Technical Excellence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[REQ] Contractor supplies/delivered Medical Devices, Special Purpose Systems-Operational Technology (SPS-OT) and Research Scientific Computing Devices shall comply with all applicable Federal law, regulations, and VA policies. New developments require creation, testing, evaluation, and authorization in compliance with processes specified on the Specialized Device Cybersecurity Department Enterprise Risk...</w:t>
            </w:r>
          </w:p>
          <w:p>
            <w:pPr>
              <w:pStyle w:val="ListParagraph"/>
              <w:numPr>
                <w:ilvl w:val="0"/>
                <w:numId w:val="2"/>
              </w:numPr>
            </w:pPr>
            <w:r>
              <w:rPr>
                <w:i w:val="false"/>
                <w:iCs w:val="false"/>
                <w:color w:val="000000"/>
                <w:sz w:val="20"/>
                <w:szCs w:val="20"/>
              </w:rPr>
              <w:t xml:space="preserve">[REQ] The standard installation, operation, maintenance, updating and patching of software shall not alter the configuration settings from VA approved baseline configuration. Software developed for VA must be compatible with VA enterprise installer services and install to the default “program files” directory with silently install and uninstall. The Contractor shall perform testing of all updates and pa...</w:t>
            </w:r>
          </w:p>
          <w:p>
            <w:pPr>
              <w:pStyle w:val="ListParagraph"/>
              <w:numPr>
                <w:ilvl w:val="0"/>
                <w:numId w:val="2"/>
              </w:numPr>
            </w:pPr>
            <w:r>
              <w:rPr>
                <w:i w:val="false"/>
                <w:iCs w:val="false"/>
                <w:color w:val="000000"/>
                <w:sz w:val="20"/>
                <w:szCs w:val="20"/>
              </w:rPr>
              <w:t xml:space="preserve">[REQ] The Contractor (including producers and resellers) shall comply with Office of Management and Budget (OMB) M-22-18 and M-23-16 when using third-party software on VA information systems or otherwise affecting the VA information. This includes new software purchases and software renewals for software developed or modified by major version change after the issuance date of M-22-18 (September 14, 2022...</w:t>
            </w:r>
          </w:p>
          <w:p>
            <w:pPr>
              <w:pStyle w:val="ListParagraph"/>
              <w:numPr>
                <w:ilvl w:val="0"/>
                <w:numId w:val="2"/>
              </w:numPr>
            </w:pPr>
            <w:r>
              <w:rPr>
                <w:i w:val="false"/>
                <w:iCs w:val="false"/>
                <w:color w:val="000000"/>
                <w:sz w:val="20"/>
                <w:szCs w:val="20"/>
              </w:rPr>
              <w:t xml:space="preserve">[REQ] The Contractor shall comply with all Federal laws, regulations, and VA policies for Information systems (cloud and non-cloud) that are hosted, operated, maintained, or used on behalf of VA at non-VA facilities. Security controls for collecting, processing, transmitting, and storing of VA sensitive information, must be in place. The controls will be tested by VA or a VA sanctioned 3PAO and approved...</w:t>
            </w:r>
          </w:p>
          <w:p>
            <w:pPr>
              <w:pStyle w:val="ListParagraph"/>
              <w:numPr>
                <w:ilvl w:val="0"/>
                <w:numId w:val="2"/>
              </w:numPr>
            </w:pPr>
            <w:r>
              <w:rPr>
                <w:i w:val="false"/>
                <w:iCs w:val="false"/>
                <w:color w:val="000000"/>
                <w:sz w:val="20"/>
                <w:szCs w:val="20"/>
              </w:rPr>
              <w:t xml:space="preserve">[REQ] (b) General. Contractors, subcontractors, their employees, third-parties, and business associates with access to VA information, information systems, or information technology (IT) or providing and accessing IT-related goods and services, shall adhere to VA Directive 6500, VA Cybersecurity Program, and the directives and handbooks in the VA 6500 series related to VA information (including VA sensi...</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E4D5F0" w:val="clear"/>
          </w:tcPr>
          <w:p>
            <w:pPr>
              <w:spacing w:after="80"/>
            </w:pPr>
            <w:r>
              <w:rPr>
                <w:b/>
                <w:bCs/>
                <w:color w:val="7030A0"/>
                <w:sz w:val="18"/>
                <w:szCs w:val="18"/>
                <w:smallCaps/>
              </w:rPr>
              <w:t xml:space="preserve">SECTION C/PWS - TECHNICAL REQUIREMENTS</w:t>
            </w:r>
          </w:p>
          <w:p>
            <w:pPr>
              <w:pStyle w:val="ListParagraph"/>
              <w:numPr>
                <w:ilvl w:val="0"/>
                <w:numId w:val="2"/>
              </w:numPr>
            </w:pPr>
            <w:r>
              <w:rPr>
                <w:i w:val="false"/>
                <w:iCs w:val="false"/>
                <w:color w:val="000000"/>
                <w:sz w:val="20"/>
                <w:szCs w:val="20"/>
              </w:rPr>
              <w:t xml:space="preserve">[REQ] The Contractor shall provide a ROISVIE delivery system, following a phased implementation approach. The Contractor shall develop a comprehensive Deployment Plan that encompasses the scope, schedule, and risk management strategies. Upon approval, the Contractor shall coordinate closely with the government’s technical teams to ensure seamless integration. Regular progress updates shall be provided to the VA project management team, addressing any issues or risks that may arise during the implementation process.</w:t>
            </w:r>
          </w:p>
          <w:p>
            <w:pPr>
              <w:pStyle w:val="ListParagraph"/>
              <w:numPr>
                <w:ilvl w:val="0"/>
                <w:numId w:val="2"/>
              </w:numPr>
            </w:pPr>
            <w:r>
              <w:rPr>
                <w:i w:val="false"/>
                <w:iCs w:val="false"/>
                <w:color w:val="000000"/>
                <w:sz w:val="20"/>
                <w:szCs w:val="20"/>
              </w:rPr>
              <w:t xml:space="preserve">[REQ] The Contractor shall provide a Test Plan and testing support to the ROISVIE systems. The Contractor shall provide implementation, configuration, and change management services that are consistent with VA’s standard implementation and deployment methodology and configure to meet all VA’s requirements as stipulated in this PD. The Contractor shall provide sustainment support of new radiation oncology information systems virtual infrastructure environment (ROISVIE) to include hardware and software upgrade through the contract POP.  The infrastructure needs to be able to host per Durham VAMC.</w:t>
            </w:r>
          </w:p>
          <w:p>
            <w:pPr>
              <w:pStyle w:val="ListParagraph"/>
              <w:numPr>
                <w:ilvl w:val="0"/>
                <w:numId w:val="2"/>
              </w:numPr>
            </w:pPr>
            <w:r>
              <w:rPr>
                <w:i w:val="false"/>
                <w:iCs w:val="false"/>
                <w:color w:val="000000"/>
                <w:sz w:val="20"/>
                <w:szCs w:val="20"/>
              </w:rPr>
              <w:t xml:space="preserve">[REQ] The Contractor shall maintain everything (e.g., backups, hardware, software, network equipment, etc.) needed to ensure all underlying systems and supporting services, hardware, and software (e.g., OS, Network Management Systems, etc.) operate at four nines (99.99%) uptime availability in support of the hosted applications. VA will be responsible for the Services and Applications themselves, but the Contractor shall provide support to the Government team (may include support contractors) responsible for those Services and Applications. The Contractor shall follow best practices and recommendations not to exceed the scope of this contract.</w:t>
            </w:r>
          </w:p>
          <w:p>
            <w:pPr>
              <w:pStyle w:val="ListParagraph"/>
              <w:numPr>
                <w:ilvl w:val="0"/>
                <w:numId w:val="2"/>
              </w:numPr>
            </w:pPr>
            <w:r>
              <w:rPr>
                <w:i w:val="false"/>
                <w:iCs w:val="false"/>
                <w:color w:val="000000"/>
                <w:sz w:val="20"/>
                <w:szCs w:val="20"/>
              </w:rPr>
              <w:t xml:space="preserve">[REQ] The Contractor solution shall support IPv6-Only based upon the memo issued by the Office of Management and Budget (OMB) on November 19, 2020 (https://www.whitehouse.gov/wp-content/uploads/2020/11/M-21-07.pdf). Which defines IPv6-only as the state of an operational system or service when IPv4 protocol functions (addressing, packet forwarding) are not in use. The NIST USGv6 profile defines technical requirements for a product to be capable of operating in IPv6-Only environments.  IPv6-Only technology, in accordance with the USGv6 Program (https://www.nist.gov/programs-projects/usgv6-program/usgv6-revision-1), NIST Special Publication (SP) 500-267B Revision 1 “USGv6 Profile” (https://doi.org/10.6028/NIST.SP.500-267Br1), and NIST SP 800-119 “Guidelines for the Secure Deployment of IPv6” (https://doi.org/10.6028/NIST.SP.800-119), compliance shall be included in all IT infrastructures, application designs, application development, operational systems and sub-systems, and their integration.  In addition to the above requirements, all devices, applications, and systems shall support all applicable functionality on native IPv6-Only as well as dual stack (IPv6 / IPv4) connectivity without additional memory or other resources being provided by the Government, so that they can function in a mixed environment.  All public/external facing servers and services (e.g., web, email, DNS, ISP services, etc.) shall support native IPv6-Only and dual stack (IPv6 / IPv4) users and all internal infrastructure and applications shall support using native IPv6-Only and dual stack (IPv6 / IPv4) for all functionality and operations.</w:t>
            </w:r>
          </w:p>
          <w:p>
            <w:pPr>
              <w:pStyle w:val="ListParagraph"/>
              <w:numPr>
                <w:ilvl w:val="0"/>
                <w:numId w:val="2"/>
              </w:numPr>
            </w:pPr>
            <w:r>
              <w:rPr>
                <w:i w:val="false"/>
                <w:iCs w:val="false"/>
                <w:color w:val="000000"/>
                <w:sz w:val="20"/>
                <w:szCs w:val="20"/>
              </w:rPr>
              <w:t xml:space="preserve">[REQ] Contractor supplies/delivered Medical Devices, Special Purpose Systems-Operational Technology (SPS-OT) and Research Scientific Computing Devices shall comply with all applicable Federal law, regulations, and VA policies. New developments require creation, testing, evaluation, and authorization in compliance with processes specified on the Specialized Device Cybersecurity Department Enterprise Risk Management (SDCD-ERM) Portal, VA Directive 6550, Pre-Procurement Assessment and Implementation of Medical Devices/Systems, VA Handbook 6500, and the VA Information Security Knowledge Service. Deviations from Federal law, regulations, and VA Policy are identified and documented as part of VA Directive 6550 and/or the VA Enterprise Risk Analysis (ERA) processes for Speci</w:t>
            </w:r>
          </w:p>
          <w:p>
            <w:pPr>
              <w:pStyle w:val="ListParagraph"/>
              <w:numPr>
                <w:ilvl w:val="0"/>
                <w:numId w:val="2"/>
              </w:numPr>
            </w:pPr>
            <w:r>
              <w:rPr>
                <w:i w:val="false"/>
                <w:iCs w:val="false"/>
                <w:color w:val="000000"/>
                <w:sz w:val="20"/>
                <w:szCs w:val="20"/>
              </w:rPr>
              <w:t xml:space="preserve">[REQ] this with the VA. Varian has agreed to move away from the VA but allow the 
subcontractor to manage the infrastructure stay in place with a SDVOSB that they 
currently work with. Now this system is near end of life and needs a new system 
purchased prior to the end of December to be built and replaced while maintaining 
the Varian infrastructure already set up ensures updates are maintained, 
vulnerabilities are addressed, and backups are secured. Without implementing this 
system Radiation Oncology is at risk of losing all backup data for the delivery of life-
saving cancer treatments to Veterans. These proprietary systems manage essential 
functions such as treatment planning, radiation delivery, quality assurance, and 
patient record-keeping and radiation specific data. The loss of this data could cause 
significant clinical harm and potentially death to Veterans if the new system is not 
procured through this method which would allow quick and proven successful 
migration and implementation.   
The proposed source for this acquisition VFI is a certified SDVOSB and is 
technically qualified to take over the service of the Legacy Solution. The existing 
support ends December 31, 2025, however, there is continued need for this service. 
VFI has been the servicing subcontractor on the original competitive task order and 
has performed successfully to date.  The contractor on the original competitive task 
order will no longer be supporting the Software Services as a prime vendor and will 
be transitioning support to VFI. 
This award is in the best interest of the Government because the current prime 
vendor, Varian, is discontinuing support of this service after December 31, 2025. 
The subcontractor, VFI, has been doing the work during the initial contract with the 
current prime vendor. The subcontractor can continue with the same level of service. 
VFI has extensive experience working specifically with the legacy solution. 
Additionally, VFI has extensive experience working with VA cybersecurity 
requirements and VA medical device and equipment requirements. Furthermore, VFI 
is willing and able to provide the replacement solution, project plan, and ongoing 
support required to maintain compliance with the evolving VA security standards.</w:t>
            </w:r>
          </w:p>
          <w:p>
            <w:pPr>
              <w:pStyle w:val="ListParagraph"/>
              <w:numPr>
                <w:ilvl w:val="0"/>
                <w:numId w:val="2"/>
              </w:numPr>
            </w:pPr>
            <w:r>
              <w:rPr>
                <w:i w:val="false"/>
                <w:iCs w:val="false"/>
                <w:color w:val="000000"/>
                <w:sz w:val="20"/>
                <w:szCs w:val="20"/>
              </w:rPr>
              <w:t xml:space="preserve">[REQ] Contractor supplies/delivered Medical Devices, Special Purpose Systems-Operational Technology (SPS-OT) and Research Scientific Computing Devices shall comply with all applicable Federal law, regulations, and VA policies. New developments require creation, testing, evaluation, and authorization in compliance with processes specified on the Specialized Device Cybersecurity Department Enterprise Risk Management (SDCD-ERM) Portal, VA Directive 6550, Pre-Procurement Assessment and Implementation of Medical Devices/Systems, VA Handbook 6500, and the VA Information Security Knowledge Service. Deviations from Federal law, regulations, and VA Policy are identified and documented as part of VA Directive 6550 and/or the VA Enterprise Risk Analysis (ERA) processes for Specialized Devices/Systems processes.</w:t>
            </w:r>
          </w:p>
          <w:p>
            <w:pPr>
              <w:pStyle w:val="ListParagraph"/>
              <w:numPr>
                <w:ilvl w:val="0"/>
                <w:numId w:val="2"/>
              </w:numPr>
            </w:pPr>
            <w:r>
              <w:rPr>
                <w:i w:val="false"/>
                <w:iCs w:val="false"/>
                <w:color w:val="000000"/>
                <w:sz w:val="20"/>
                <w:szCs w:val="20"/>
              </w:rPr>
              <w:t xml:space="preserve">[REQ] VA has established minimum mandatory security requirements and requires that any network connected software system or service must meet the VA Critical Security Controls as outlined in the VA Memorandum, “VA Security Controls”, https://www.voa.va.gov/DocumentView.aspx?DocumentID=5010.  VA Critical Security Controls identify the minimum mandatory requirements that must be implemented across all VA enterprise infrastructure, cloud computing environments, information systems, networks, and specialized devices (medical devices/systems, special-purpose systems, and research scientific computing devices) that process, store, and/or transmit VA data.  Effective July 1, 2025, the Contractor shall implement these VA Critical Security Controls, within any network connected software system or service prior to being authorized for use in the VA.  This functional requirement is not negotiable, and Plan of Action &amp; Milestones (POAM) will not be accepted in the event these controls cannot be implemented for new systems.  Critical Security Controls are intended to increase VA’s security posture and provide security and privacy risk visibility into the VA network and is not a new requirement.  The Contractor’s failure to maintain these VA Critical Controls after implementation will result in VA discontinuing the use of the system.</w:t>
            </w:r>
          </w:p>
          <w:p>
            <w:pPr>
              <w:pStyle w:val="ListParagraph"/>
              <w:numPr>
                <w:ilvl w:val="0"/>
                <w:numId w:val="2"/>
              </w:numPr>
            </w:pPr>
            <w:r>
              <w:rPr>
                <w:i w:val="false"/>
                <w:iCs w:val="false"/>
                <w:color w:val="000000"/>
                <w:sz w:val="20"/>
                <w:szCs w:val="20"/>
              </w:rPr>
              <w:t xml:space="preserve">[REQ] The Contractor shall design, develop, and implement security and privacy controls in accordance with the provisions of VA security system development life cycle outlined in NIST 800-37, Risk Management Framework for Information Systems and Organizations: A System Life Cycle Approach for Security and Privacy, VA Directive and Handbook 6500, and VA Handbook 6517.</w:t>
            </w:r>
          </w:p>
          <w:p>
            <w:pPr>
              <w:pStyle w:val="ListParagraph"/>
              <w:numPr>
                <w:ilvl w:val="0"/>
                <w:numId w:val="2"/>
              </w:numPr>
            </w:pPr>
            <w:r>
              <w:rPr>
                <w:i w:val="false"/>
                <w:iCs w:val="false"/>
                <w:color w:val="000000"/>
                <w:sz w:val="20"/>
                <w:szCs w:val="20"/>
              </w:rPr>
              <w:t xml:space="preserve">[REQ] The Contractor shall support local on-site Disaster Recovery (DR) testing as deemed necessary by the ROISVIE PM. The Contractor shall develop a Disaster Recovery Plan (DRP) and Continuity of Operations (COOP) maintained by Durham Information Technology Center (DITC) and in accordance with VA Handbook 6500. The Contractor shall also support the transition to Mission Critical status in the DR environment. In an event that results in system crash and potential data loss, the Contractor shall support Durham personnel in roll-backs and other VA approved COOP procedures.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1"/>
        <w:pageBreakBefore/>
      </w:pPr>
      <w:r>
        <w:t xml:space="preserve">VOLUME 2: MANAGEMENT PROPOSAL</w:t>
      </w:r>
    </w:p>
    <w:p>
      <w:pPr>
        <w:spacing w:after="120"/>
      </w:pPr>
      <w:r>
        <w:rPr>
          <w:b/>
          <w:bCs/>
          <w:sz w:val="22"/>
          <w:szCs w:val="22"/>
        </w:rPr>
        <w:t xml:space="preserve">Page Limit: </w:t>
      </w:r>
      <w:r>
        <w:rPr>
          <w:color w:val="C00000"/>
          <w:sz w:val="22"/>
          <w:szCs w:val="22"/>
        </w:rPr>
        <w:t xml:space="preserve">No limit specified</w:t>
      </w:r>
    </w:p>
    <w:p>
      <w:pPr>
        <w:pStyle w:val="Heading2"/>
      </w:pPr>
      <w:r>
        <w:t xml:space="preserve">SEC-MGMT-1. Management Approach</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[Review RFP Section L for specific requirements for Management Approach]</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E4D5F0" w:val="clear"/>
          </w:tcPr>
          <w:p>
            <w:pPr>
              <w:spacing w:after="80"/>
            </w:pPr>
            <w:r>
              <w:rPr>
                <w:b/>
                <w:bCs/>
                <w:color w:val="7030A0"/>
                <w:sz w:val="18"/>
                <w:szCs w:val="18"/>
                <w:smallCaps/>
              </w:rPr>
              <w:t xml:space="preserve">SECTION C/PWS - TECHNICAL REQUIREMENTS</w:t>
            </w:r>
          </w:p>
          <w:p>
            <w:pPr>
              <w:pStyle w:val="ListParagraph"/>
              <w:numPr>
                <w:ilvl w:val="0"/>
                <w:numId w:val="2"/>
              </w:numPr>
            </w:pPr>
            <w:r>
              <w:rPr>
                <w:i w:val="false"/>
                <w:iCs w:val="false"/>
                <w:color w:val="000000"/>
                <w:sz w:val="20"/>
                <w:szCs w:val="20"/>
              </w:rPr>
              <w:t xml:space="preserve">[REQ] The Contractor shall deliver a Contractor Project Management Plan (CPMP) that lays out the Contractor’s approach, timeline, and tools to be used in execution of this contract. The purpose of this plan is to ensure that the Government and the Contractor understand and manage risk, communications, schedules, deliverables, quality, and human resources. The contractor shall ensure the CPMP take the form of both a narrative and graphic format to illustrate schedules, milestones, risks, and resource support.  The CPMP shall also include procedures that detail how the Contractor coordinates and executes plans, routines, and ad-hoc data collection and reporting requests as identified within the PD. The initial baseline CPMP shall be approved by the government and kept current in accordance with Section B.4 of the contract.</w:t>
            </w:r>
          </w:p>
          <w:p>
            <w:pPr>
              <w:pStyle w:val="ListParagraph"/>
              <w:numPr>
                <w:ilvl w:val="0"/>
                <w:numId w:val="2"/>
              </w:numPr>
            </w:pPr>
            <w:r>
              <w:rPr>
                <w:i w:val="false"/>
                <w:iCs w:val="false"/>
                <w:color w:val="000000"/>
                <w:sz w:val="20"/>
                <w:szCs w:val="20"/>
              </w:rPr>
              <w:t xml:space="preserve">[REQ] The Contractor shall track all risks in the VA approved project management tool utilized by the team they are supporting. The Contractor shall provide the COR and PM with Quarterly Status Reports in electronic form per mutually agreed upon format and media. The report shall include detailed instructions/explanations for each required data element, to ensure that data is accurate and consistent. These reports shall reflect data as of the last day of the preceding Quartey Status Report.</w:t>
            </w:r>
          </w:p>
          <w:p>
            <w:pPr>
              <w:pStyle w:val="ListParagraph"/>
              <w:numPr>
                <w:ilvl w:val="0"/>
                <w:numId w:val="2"/>
              </w:numPr>
            </w:pPr>
            <w:r>
              <w:rPr>
                <w:i w:val="false"/>
                <w:iCs w:val="false"/>
                <w:color w:val="000000"/>
                <w:sz w:val="20"/>
                <w:szCs w:val="20"/>
              </w:rPr>
              <w:t xml:space="preserve">[REQ] The Contractor shall provide a ROISVIE delivery system, following a phased implementation approach. The Contractor shall develop a comprehensive Deployment Plan that encompasses the scope, schedule, and risk management strategies. Upon approval, the Contractor shall coordinate closely with the government’s technical teams to ensure seamless integration. Regular progress updates shall be provided to the VA project management team, addressing any issues or risks that may arise during the implementation process.</w:t>
            </w:r>
          </w:p>
          <w:p>
            <w:pPr>
              <w:pStyle w:val="ListParagraph"/>
              <w:numPr>
                <w:ilvl w:val="0"/>
                <w:numId w:val="2"/>
              </w:numPr>
            </w:pPr>
            <w:r>
              <w:rPr>
                <w:i w:val="false"/>
                <w:iCs w:val="false"/>
                <w:color w:val="000000"/>
                <w:sz w:val="20"/>
                <w:szCs w:val="20"/>
              </w:rPr>
              <w:t xml:space="preserve">[REQ] A Risk Management Plan that details all risks that may impact contract success, to include a common name or title, probability, impact, risk score, origin, explanation, planned or recommended mitigation, time to close. Otherwise, complete Plan of Action &amp; Milestones (POAM) for identified risks.</w:t>
            </w:r>
          </w:p>
          <w:p>
            <w:pPr>
              <w:pStyle w:val="ListParagraph"/>
              <w:numPr>
                <w:ilvl w:val="0"/>
                <w:numId w:val="2"/>
              </w:numPr>
            </w:pPr>
            <w:r>
              <w:rPr>
                <w:i w:val="false"/>
                <w:iCs w:val="false"/>
                <w:color w:val="000000"/>
                <w:sz w:val="20"/>
                <w:szCs w:val="20"/>
              </w:rPr>
              <w:t xml:space="preserve">[REQ] ing a field service report format. The report shall include detailed instructions/explanations for each required data element, to ensure that data is accurate and consistent. The report shall reflect data as of the last business day of the preceding period. The Status Report shall cover all work completed during the reporting period and work planned for the subsequent reporting period for each project. The report shall also identify any problems that arose, and a description of how the problems were resolved. If problems have not been completely resolved, the Contractor shall provide an explanation including their plan and timeframe for resolving the issue. The report shall include all metrics in the table in Section 1.9 of this Product Description. The report shall also include an itemized list of all documents and electronic deliverables.</w:t>
            </w:r>
          </w:p>
          <w:p>
            <w:pPr>
              <w:pStyle w:val="ListParagraph"/>
              <w:numPr>
                <w:ilvl w:val="0"/>
                <w:numId w:val="2"/>
              </w:numPr>
            </w:pPr>
            <w:r>
              <w:rPr>
                <w:i w:val="false"/>
                <w:iCs w:val="false"/>
                <w:color w:val="000000"/>
                <w:sz w:val="20"/>
                <w:szCs w:val="20"/>
              </w:rPr>
              <w:t xml:space="preserve">[REQ] The Contractor shall provide the COR with a quarterly Status Report using a field service report format. The report shall include detailed instructions/explanations for each required data element, to ensure that data is accurate and consistent. The report shall reflect data as of the last business day of the preceding period. The Status Report shall cover all work completed during the reporting period and work planned for the subsequent reporting period for each project. The report shall also identify any problems that arose, and a description of how the problems were resolved. If problems have not been completely resolved, the Contractor shall provide an explanation including their plan and timeframe for resolving the issue. The report shall include all metrics in the table in Section 1.9 of this Product Description. The report shall also include an itemized list of all documents and electronic deliverables.</w:t>
            </w:r>
          </w:p>
          <w:p>
            <w:pPr>
              <w:pStyle w:val="ListParagraph"/>
              <w:numPr>
                <w:ilvl w:val="0"/>
                <w:numId w:val="2"/>
              </w:numPr>
            </w:pPr>
            <w:r>
              <w:rPr>
                <w:i w:val="false"/>
                <w:iCs w:val="false"/>
                <w:color w:val="000000"/>
                <w:sz w:val="20"/>
                <w:szCs w:val="20"/>
              </w:rPr>
              <w:t xml:space="preserve">[REQ] The Contractor shall provide an Implementation Plan which shall include all requirements necessary to provide and maintain a fully operational Radiation Oncology system to support project management and include installation support through policy development, planning, testing, implementation, installation, training, at an Enterprise level.</w:t>
            </w:r>
          </w:p>
          <w:p>
            <w:pPr>
              <w:pStyle w:val="ListParagraph"/>
              <w:numPr>
                <w:ilvl w:val="0"/>
                <w:numId w:val="2"/>
              </w:numPr>
            </w:pPr>
            <w:r>
              <w:rPr>
                <w:i w:val="false"/>
                <w:iCs w:val="false"/>
                <w:color w:val="000000"/>
                <w:sz w:val="20"/>
                <w:szCs w:val="20"/>
              </w:rPr>
              <w:t xml:space="preserve">[REQ] VA IT Contractors shall follow VA Handbook 6500, Risk Management Framework for VA Information Systems VA Information Security Program, and VA Information Security Knowledge Service guidance for implementing an Incident Response Plan or integrating with an existing VA implementation.</w:t>
            </w:r>
          </w:p>
          <w:p>
            <w:pPr>
              <w:pStyle w:val="ListParagraph"/>
              <w:numPr>
                <w:ilvl w:val="0"/>
                <w:numId w:val="2"/>
              </w:numPr>
            </w:pPr>
            <w:r>
              <w:rPr>
                <w:i w:val="false"/>
                <w:iCs w:val="false"/>
                <w:color w:val="000000"/>
                <w:sz w:val="20"/>
                <w:szCs w:val="20"/>
              </w:rPr>
              <w:t xml:space="preserve">[REQ] All Contractors shall establish, implement, and provide documentation for risk management practices for supply chain delivery of hardware, software (to include patches) and firmware provided under this agreement. Documentation will include chain of custody practices, inventory management program, information protection practices, integrity management program for sub-supplier provided components, and replacement parts requests. The Contractor shall make spare parts available. All Contractor(s) shall specify how digital delivery for procured products, including patches, will be validated and monitored to ensure consistent delivery. The Contractor shall apply encryption technology to protect procured products throughout the delivery process.</w:t>
            </w:r>
          </w:p>
          <w:p>
            <w:pPr>
              <w:pStyle w:val="ListParagraph"/>
              <w:numPr>
                <w:ilvl w:val="0"/>
                <w:numId w:val="2"/>
              </w:numPr>
            </w:pPr>
            <w:r>
              <w:rPr>
                <w:i w:val="false"/>
                <w:iCs w:val="false"/>
                <w:color w:val="000000"/>
                <w:sz w:val="20"/>
                <w:szCs w:val="20"/>
              </w:rPr>
              <w:t xml:space="preserve">[REQ] The Contractor shall hold a virtual Technical Kick-Off Meeting within 10 days after contract award. The Contractor shall present, for review and approval by the Government, the details of the intended approach, work plan, and project schedule for each effort. The Contractor shall specify dates coordinated with the VA and provide a Kick-Off Meeting Agenda three (3) business days prior to the meeting.</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SEC-MGMT-2. Project Schedule and Milestones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[Review RFP Section L for specific requirements for Project Schedule and Milestones]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E4D5F0" w:val="clear"/>
          </w:tcPr>
          <w:p>
            <w:pPr>
              <w:spacing w:after="80"/>
            </w:pPr>
            <w:r>
              <w:rPr>
                <w:b/>
                <w:bCs/>
                <w:color w:val="7030A0"/>
                <w:sz w:val="18"/>
                <w:szCs w:val="18"/>
                <w:smallCaps/>
              </w:rPr>
              <w:t xml:space="preserve">SECTION C/PWS - TECHNICAL REQUIREMENTS</w:t>
            </w:r>
          </w:p>
          <w:p>
            <w:pPr>
              <w:pStyle w:val="ListParagraph"/>
              <w:numPr>
                <w:ilvl w:val="0"/>
                <w:numId w:val="2"/>
              </w:numPr>
            </w:pPr>
            <w:r>
              <w:rPr>
                <w:i w:val="false"/>
                <w:iCs w:val="false"/>
                <w:color w:val="000000"/>
                <w:sz w:val="20"/>
                <w:szCs w:val="20"/>
              </w:rPr>
              <w:t xml:space="preserve">[REQ] The Contractor shall deliver a Contractor Project Management Plan (CPMP) that lays out the Contractor’s approach, timeline, and tools to be used in execution of this contract. The purpose of this plan is to ensure that the Government and the Contractor understand and manage risk, communications, schedules, deliverables, quality, and human resources. The contractor shall ensure the CPMP take the form of both a narrative and graphic format to illustrate schedules, milestones, risks, and resource support.  The CPMP shall also include procedures that detail how the Contractor coordinates and executes plans, routines, and ad-hoc data collection and reporting requests as identified within the PD. The initial baseline CPMP shall be approved by the government and kept current in accordance with Section B.4 of the contract.</w:t>
            </w:r>
          </w:p>
          <w:p>
            <w:pPr>
              <w:pStyle w:val="ListParagraph"/>
              <w:numPr>
                <w:ilvl w:val="0"/>
                <w:numId w:val="2"/>
              </w:numPr>
            </w:pPr>
            <w:r>
              <w:rPr>
                <w:i w:val="false"/>
                <w:iCs w:val="false"/>
                <w:color w:val="000000"/>
                <w:sz w:val="20"/>
                <w:szCs w:val="20"/>
              </w:rPr>
              <w:t xml:space="preserve">[REQ] The Contractor shall track all risks in the VA approved project management tool utilized by the team they are supporting. The Contractor shall provide the COR and PM with Quarterly Status Reports in electronic form per mutually agreed upon format and media. The report shall include detailed instructions/explanations for each required data element, to ensure that data is accurate and consistent. These reports shall reflect data as of the last day of the preceding Quartey Status Report.</w:t>
            </w:r>
          </w:p>
          <w:p>
            <w:pPr>
              <w:pStyle w:val="ListParagraph"/>
              <w:numPr>
                <w:ilvl w:val="0"/>
                <w:numId w:val="2"/>
              </w:numPr>
            </w:pPr>
            <w:r>
              <w:rPr>
                <w:i w:val="false"/>
                <w:iCs w:val="false"/>
                <w:color w:val="000000"/>
                <w:sz w:val="20"/>
                <w:szCs w:val="20"/>
              </w:rPr>
              <w:t xml:space="preserve">[REQ] The Contractor shall provide a ROISVIE delivery system, following a phased implementation approach. The Contractor shall develop a comprehensive Deployment Plan that encompasses the scope, schedule, and risk management strategies. Upon approval, the Contractor shall coordinate closely with the government’s technical teams to ensure seamless integration. Regular progress updates shall be provided to the VA project management team, addressing any issues or risks that may arise during the implementation process.</w:t>
            </w:r>
          </w:p>
          <w:p>
            <w:pPr>
              <w:pStyle w:val="ListParagraph"/>
              <w:numPr>
                <w:ilvl w:val="0"/>
                <w:numId w:val="2"/>
              </w:numPr>
            </w:pPr>
            <w:r>
              <w:rPr>
                <w:i w:val="false"/>
                <w:iCs w:val="false"/>
                <w:color w:val="000000"/>
                <w:sz w:val="20"/>
                <w:szCs w:val="20"/>
              </w:rPr>
              <w:t xml:space="preserve">[REQ] A Risk Management Plan that details all risks that may impact contract success, to include a common name or title, probability, impact, risk score, origin, explanation, planned or recommended mitigation, time to close. Otherwise, complete Plan of Action &amp; Milestones (POAM) for identified risks.</w:t>
            </w:r>
          </w:p>
          <w:p>
            <w:pPr>
              <w:pStyle w:val="ListParagraph"/>
              <w:numPr>
                <w:ilvl w:val="0"/>
                <w:numId w:val="2"/>
              </w:numPr>
            </w:pPr>
            <w:r>
              <w:rPr>
                <w:i w:val="false"/>
                <w:iCs w:val="false"/>
                <w:color w:val="000000"/>
                <w:sz w:val="20"/>
                <w:szCs w:val="20"/>
              </w:rPr>
              <w:t xml:space="preserve">[REQ] ing a field service report format. The report shall include detailed instructions/explanations for each required data element, to ensure that data is accurate and consistent. The report shall reflect data as of the last business day of the preceding period. The Status Report shall cover all work completed during the reporting period and work planned for the subsequent reporting period for each project. The report shall also identify any problems that arose, and a description of how the problems were resolved. If problems have not been completely resolved, the Contractor shall provide an explanation including their plan and timeframe for resolving the issue. The report shall include all metrics in the table in Section 1.9 of this Product Description. The report shall also include an itemized list of all documents and electronic deliverables.</w:t>
            </w:r>
          </w:p>
          <w:p>
            <w:pPr>
              <w:pStyle w:val="ListParagraph"/>
              <w:numPr>
                <w:ilvl w:val="0"/>
                <w:numId w:val="2"/>
              </w:numPr>
            </w:pPr>
            <w:r>
              <w:rPr>
                <w:i w:val="false"/>
                <w:iCs w:val="false"/>
                <w:color w:val="000000"/>
                <w:sz w:val="20"/>
                <w:szCs w:val="20"/>
              </w:rPr>
              <w:t xml:space="preserve">[REQ] The Contractor shall provide the COR with a quarterly Status Report using a field service report format. The report shall include detailed instructions/explanations for each required data element, to ensure that data is accurate and consistent. The report shall reflect data as of the last business day of the preceding period. The Status Report shall cover all work completed during the reporting period and work planned for the subsequent reporting period for each project. The report shall also identify any problems that arose, and a description of how the problems were resolved. If problems have not been completely resolved, the Contractor shall provide an explanation including their plan and timeframe for resolving the issue. The report shall include all metrics in the table in Section 1.9 of this Product Description. The report shall also include an itemized list of all documents and electronic deliverables.</w:t>
            </w:r>
          </w:p>
          <w:p>
            <w:pPr>
              <w:pStyle w:val="ListParagraph"/>
              <w:numPr>
                <w:ilvl w:val="0"/>
                <w:numId w:val="2"/>
              </w:numPr>
            </w:pPr>
            <w:r>
              <w:rPr>
                <w:i w:val="false"/>
                <w:iCs w:val="false"/>
                <w:color w:val="000000"/>
                <w:sz w:val="20"/>
                <w:szCs w:val="20"/>
              </w:rPr>
              <w:t xml:space="preserve">[REQ] The Contractor shall provide an Implementation Plan which shall include all requirements necessary to provide and maintain a fully operational Radiation Oncology system to support project management and include installation support through policy development, planning, testing, implementation, installation, training, at an Enterprise level.</w:t>
            </w:r>
          </w:p>
          <w:p>
            <w:pPr>
              <w:pStyle w:val="ListParagraph"/>
              <w:numPr>
                <w:ilvl w:val="0"/>
                <w:numId w:val="2"/>
              </w:numPr>
            </w:pPr>
            <w:r>
              <w:rPr>
                <w:i w:val="false"/>
                <w:iCs w:val="false"/>
                <w:color w:val="000000"/>
                <w:sz w:val="20"/>
                <w:szCs w:val="20"/>
              </w:rPr>
              <w:t xml:space="preserve">[REQ] VA IT Contractors shall follow VA Handbook 6500, Risk Management Framework for VA Information Systems VA Information Security Program, and VA Information Security Knowledge Service guidance for implementing an Incident Response Plan or integrating with an existing VA implementation.</w:t>
            </w:r>
          </w:p>
          <w:p>
            <w:pPr>
              <w:pStyle w:val="ListParagraph"/>
              <w:numPr>
                <w:ilvl w:val="0"/>
                <w:numId w:val="2"/>
              </w:numPr>
            </w:pPr>
            <w:r>
              <w:rPr>
                <w:i w:val="false"/>
                <w:iCs w:val="false"/>
                <w:color w:val="000000"/>
                <w:sz w:val="20"/>
                <w:szCs w:val="20"/>
              </w:rPr>
              <w:t xml:space="preserve">[REQ] All Contractors shall establish, implement, and provide documentation for risk management practices for supply chain delivery of hardware, software (to include patches) and firmware provided under this agreement. Documentation will include chain of custody practices, inventory management program, information protection practices, integrity management program for sub-supplier provided components, and replacement parts requests. The Contractor shall make spare parts available. All Contractor(s) shall specify how digital delivery for procured products, including patches, will be validated and monitored to ensure consistent delivery. The Contractor shall apply encryption technology to protect procured products throughout the delivery process.</w:t>
            </w:r>
          </w:p>
          <w:p>
            <w:pPr>
              <w:pStyle w:val="ListParagraph"/>
              <w:numPr>
                <w:ilvl w:val="0"/>
                <w:numId w:val="2"/>
              </w:numPr>
            </w:pPr>
            <w:r>
              <w:rPr>
                <w:i w:val="false"/>
                <w:iCs w:val="false"/>
                <w:color w:val="000000"/>
                <w:sz w:val="20"/>
                <w:szCs w:val="20"/>
              </w:rPr>
              <w:t xml:space="preserve">[REQ] The Contractor shall hold a virtual Technical Kick-Off Meeting within 10 days after contract award. The Contractor shall present, for review and approval by the Government, the details of the intended approach, work plan, and project schedule for each effort. The Contractor shall specify dates coordinated with the VA and provide a Kick-Off Meeting Agenda three (3) business days prior to the meeting.</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SEC-MGMT-3. Risk Management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[Review RFP Section L for specific requirements for Risk Management]</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E4D5F0" w:val="clear"/>
          </w:tcPr>
          <w:p>
            <w:pPr>
              <w:spacing w:after="80"/>
            </w:pPr>
            <w:r>
              <w:rPr>
                <w:b/>
                <w:bCs/>
                <w:color w:val="7030A0"/>
                <w:sz w:val="18"/>
                <w:szCs w:val="18"/>
                <w:smallCaps/>
              </w:rPr>
              <w:t xml:space="preserve">SECTION C/PWS - TECHNICAL REQUIREMENTS</w:t>
            </w:r>
          </w:p>
          <w:p>
            <w:pPr>
              <w:pStyle w:val="ListParagraph"/>
              <w:numPr>
                <w:ilvl w:val="0"/>
                <w:numId w:val="2"/>
              </w:numPr>
            </w:pPr>
            <w:r>
              <w:rPr>
                <w:i w:val="false"/>
                <w:iCs w:val="false"/>
                <w:color w:val="000000"/>
                <w:sz w:val="20"/>
                <w:szCs w:val="20"/>
              </w:rPr>
              <w:t xml:space="preserve">[REQ] The Contractor shall deliver a Contractor Project Management Plan (CPMP) that lays out the Contractor’s approach, timeline, and tools to be used in execution of this contract. The purpose of this plan is to ensure that the Government and the Contractor understand and manage risk, communications, schedules, deliverables, quality, and human resources. The contractor shall ensure the CPMP take the form of both a narrative and graphic format to illustrate schedules, milestones, risks, and resource support.  The CPMP shall also include procedures that detail how the Contractor coordinates and executes plans, routines, and ad-hoc data collection and reporting requests as identified within the PD. The initial baseline CPMP shall be approved by the government and kept current in accordance with Section B.4 of the contract.</w:t>
            </w:r>
          </w:p>
          <w:p>
            <w:pPr>
              <w:pStyle w:val="ListParagraph"/>
              <w:numPr>
                <w:ilvl w:val="0"/>
                <w:numId w:val="2"/>
              </w:numPr>
            </w:pPr>
            <w:r>
              <w:rPr>
                <w:i w:val="false"/>
                <w:iCs w:val="false"/>
                <w:color w:val="000000"/>
                <w:sz w:val="20"/>
                <w:szCs w:val="20"/>
              </w:rPr>
              <w:t xml:space="preserve">[REQ] The Contractor shall track all risks in the VA approved project management tool utilized by the team they are supporting. The Contractor shall provide the COR and PM with Quarterly Status Reports in electronic form per mutually agreed upon format and media. The report shall include detailed instructions/explanations for each required data element, to ensure that data is accurate and consistent. These reports shall reflect data as of the last day of the preceding Quartey Status Report.</w:t>
            </w:r>
          </w:p>
          <w:p>
            <w:pPr>
              <w:pStyle w:val="ListParagraph"/>
              <w:numPr>
                <w:ilvl w:val="0"/>
                <w:numId w:val="2"/>
              </w:numPr>
            </w:pPr>
            <w:r>
              <w:rPr>
                <w:i w:val="false"/>
                <w:iCs w:val="false"/>
                <w:color w:val="000000"/>
                <w:sz w:val="20"/>
                <w:szCs w:val="20"/>
              </w:rPr>
              <w:t xml:space="preserve">[REQ] The Contractor shall provide a ROISVIE delivery system, following a phased implementation approach. The Contractor shall develop a comprehensive Deployment Plan that encompasses the scope, schedule, and risk management strategies. Upon approval, the Contractor shall coordinate closely with the government’s technical teams to ensure seamless integration. Regular progress updates shall be provided to the VA project management team, addressing any issues or risks that may arise during the implementation process.</w:t>
            </w:r>
          </w:p>
          <w:p>
            <w:pPr>
              <w:pStyle w:val="ListParagraph"/>
              <w:numPr>
                <w:ilvl w:val="0"/>
                <w:numId w:val="2"/>
              </w:numPr>
            </w:pPr>
            <w:r>
              <w:rPr>
                <w:i w:val="false"/>
                <w:iCs w:val="false"/>
                <w:color w:val="000000"/>
                <w:sz w:val="20"/>
                <w:szCs w:val="20"/>
              </w:rPr>
              <w:t xml:space="preserve">[REQ] A Risk Management Plan that details all risks that may impact contract success, to include a common name or title, probability, impact, risk score, origin, explanation, planned or recommended mitigation, time to close. Otherwise, complete Plan of Action &amp; Milestones (POAM) for identified risks.</w:t>
            </w:r>
          </w:p>
          <w:p>
            <w:pPr>
              <w:pStyle w:val="ListParagraph"/>
              <w:numPr>
                <w:ilvl w:val="0"/>
                <w:numId w:val="2"/>
              </w:numPr>
            </w:pPr>
            <w:r>
              <w:rPr>
                <w:i w:val="false"/>
                <w:iCs w:val="false"/>
                <w:color w:val="000000"/>
                <w:sz w:val="20"/>
                <w:szCs w:val="20"/>
              </w:rPr>
              <w:t xml:space="preserve">[REQ] ing a field service report format. The report shall include detailed instructions/explanations for each required data element, to ensure that data is accurate and consistent. The report shall reflect data as of the last business day of the preceding period. The Status Report shall cover all work completed during the reporting period and work planned for the subsequent reporting period for each project. The report shall also identify any problems that arose, and a description of how the problems were resolved. If problems have not been completely resolved, the Contractor shall provide an explanation including their plan and timeframe for resolving the issue. The report shall include all metrics in the table in Section 1.9 of this Product Description. The report shall also include an itemized list of all documents and electronic deliverables.</w:t>
            </w:r>
          </w:p>
          <w:p>
            <w:pPr>
              <w:pStyle w:val="ListParagraph"/>
              <w:numPr>
                <w:ilvl w:val="0"/>
                <w:numId w:val="2"/>
              </w:numPr>
            </w:pPr>
            <w:r>
              <w:rPr>
                <w:i w:val="false"/>
                <w:iCs w:val="false"/>
                <w:color w:val="000000"/>
                <w:sz w:val="20"/>
                <w:szCs w:val="20"/>
              </w:rPr>
              <w:t xml:space="preserve">[REQ] The Contractor shall provide the COR with a quarterly Status Report using a field service report format. The report shall include detailed instructions/explanations for each required data element, to ensure that data is accurate and consistent. The report shall reflect data as of the last business day of the preceding period. The Status Report shall cover all work completed during the reporting period and work planned for the subsequent reporting period for each project. The report shall also identify any problems that arose, and a description of how the problems were resolved. If problems have not been completely resolved, the Contractor shall provide an explanation including their plan and timeframe for resolving the issue. The report shall include all metrics in the table in Section 1.9 of this Product Description. The report shall also include an itemized list of all documents and electronic deliverables.</w:t>
            </w:r>
          </w:p>
          <w:p>
            <w:pPr>
              <w:pStyle w:val="ListParagraph"/>
              <w:numPr>
                <w:ilvl w:val="0"/>
                <w:numId w:val="2"/>
              </w:numPr>
            </w:pPr>
            <w:r>
              <w:rPr>
                <w:i w:val="false"/>
                <w:iCs w:val="false"/>
                <w:color w:val="000000"/>
                <w:sz w:val="20"/>
                <w:szCs w:val="20"/>
              </w:rPr>
              <w:t xml:space="preserve">[REQ] The Contractor shall provide an Implementation Plan which shall include all requirements necessary to provide and maintain a fully operational Radiation Oncology system to support project management and include installation support through policy development, planning, testing, implementation, installation, training, at an Enterprise level.</w:t>
            </w:r>
          </w:p>
          <w:p>
            <w:pPr>
              <w:pStyle w:val="ListParagraph"/>
              <w:numPr>
                <w:ilvl w:val="0"/>
                <w:numId w:val="2"/>
              </w:numPr>
            </w:pPr>
            <w:r>
              <w:rPr>
                <w:i w:val="false"/>
                <w:iCs w:val="false"/>
                <w:color w:val="000000"/>
                <w:sz w:val="20"/>
                <w:szCs w:val="20"/>
              </w:rPr>
              <w:t xml:space="preserve">[REQ] VA IT Contractors shall follow VA Handbook 6500, Risk Management Framework for VA Information Systems VA Information Security Program, and VA Information Security Knowledge Service guidance for implementing an Incident Response Plan or integrating with an existing VA implementation.</w:t>
            </w:r>
          </w:p>
          <w:p>
            <w:pPr>
              <w:pStyle w:val="ListParagraph"/>
              <w:numPr>
                <w:ilvl w:val="0"/>
                <w:numId w:val="2"/>
              </w:numPr>
            </w:pPr>
            <w:r>
              <w:rPr>
                <w:i w:val="false"/>
                <w:iCs w:val="false"/>
                <w:color w:val="000000"/>
                <w:sz w:val="20"/>
                <w:szCs w:val="20"/>
              </w:rPr>
              <w:t xml:space="preserve">[REQ] All Contractors shall establish, implement, and provide documentation for risk management practices for supply chain delivery of hardware, software (to include patches) and firmware provided under this agreement. Documentation will include chain of custody practices, inventory management program, information protection practices, integrity management program for sub-supplier provided components, and replacement parts requests. The Contractor shall make spare parts available. All Contractor(s) shall specify how digital delivery for procured products, including patches, will be validated and monitored to ensure consistent delivery. The Contractor shall apply encryption technology to protect procured products throughout the delivery process.</w:t>
            </w:r>
          </w:p>
          <w:p>
            <w:pPr>
              <w:pStyle w:val="ListParagraph"/>
              <w:numPr>
                <w:ilvl w:val="0"/>
                <w:numId w:val="2"/>
              </w:numPr>
            </w:pPr>
            <w:r>
              <w:rPr>
                <w:i w:val="false"/>
                <w:iCs w:val="false"/>
                <w:color w:val="000000"/>
                <w:sz w:val="20"/>
                <w:szCs w:val="20"/>
              </w:rPr>
              <w:t xml:space="preserve">[REQ] The Contractor shall hold a virtual Technical Kick-Off Meeting within 10 days after contract award. The Contractor shall present, for review and approval by the Government, the details of the intended approach, work plan, and project schedule for each effort. The Contractor shall specify dates coordinated with the VA and provide a Kick-Off Meeting Agenda three (3) business days prior to the meeting.</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SEC-MGMT-4. Quality Assurance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[Review RFP Section L for specific requirements for Quality Assurance]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1"/>
        <w:pageBreakBefore/>
      </w:pPr>
      <w:r>
        <w:t xml:space="preserve">VOLUME 3: PAST PERFORMANCE</w:t>
      </w:r>
    </w:p>
    <w:p>
      <w:pPr>
        <w:spacing w:after="120"/>
      </w:pPr>
      <w:r>
        <w:rPr>
          <w:b/>
          <w:bCs/>
          <w:sz w:val="22"/>
          <w:szCs w:val="22"/>
        </w:rPr>
        <w:t xml:space="preserve">Page Limit: </w:t>
      </w:r>
      <w:r>
        <w:rPr>
          <w:color w:val="C00000"/>
          <w:sz w:val="22"/>
          <w:szCs w:val="22"/>
        </w:rPr>
        <w:t xml:space="preserve">No limit specified</w:t>
      </w:r>
    </w:p>
    <w:p>
      <w:pPr>
        <w:pStyle w:val="Heading2"/>
      </w:pPr>
      <w:r>
        <w:t xml:space="preserve">SEC-PP-1. Past Performance Overview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[Review RFP Section L for specific requirements for Past Performance Overview]</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E4D5F0" w:val="clear"/>
          </w:tcPr>
          <w:p>
            <w:pPr>
              <w:spacing w:after="80"/>
            </w:pPr>
            <w:r>
              <w:rPr>
                <w:b/>
                <w:bCs/>
                <w:color w:val="7030A0"/>
                <w:sz w:val="18"/>
                <w:szCs w:val="18"/>
                <w:smallCaps/>
              </w:rPr>
              <w:t xml:space="preserve">SECTION C/PWS - TECHNICAL REQUIREMENTS</w:t>
            </w:r>
          </w:p>
          <w:p>
            <w:pPr>
              <w:pStyle w:val="ListParagraph"/>
              <w:numPr>
                <w:ilvl w:val="0"/>
                <w:numId w:val="2"/>
              </w:numPr>
            </w:pPr>
            <w:r>
              <w:rPr>
                <w:i w:val="false"/>
                <w:iCs w:val="false"/>
                <w:color w:val="000000"/>
                <w:sz w:val="20"/>
                <w:szCs w:val="20"/>
              </w:rPr>
              <w:t xml:space="preserve">[REQ] The Contractor shall provide all maintenance services in a timely manner in accordance with the Contractor’s customary practice or as defined in the Performance Work Statement or Product Description.  However, prolonged delay (exceeding 2 business days) in resolving software problems will be noted in the Government’s various past performance records on the Contractor. (https://www.cpars.gov/cparsweb/home)</w:t>
            </w:r>
          </w:p>
          <w:p>
            <w:pPr>
              <w:pStyle w:val="ListParagraph"/>
              <w:numPr>
                <w:ilvl w:val="0"/>
                <w:numId w:val="2"/>
              </w:numPr>
            </w:pPr>
            <w:r>
              <w:rPr>
                <w:i w:val="false"/>
                <w:iCs w:val="false"/>
                <w:color w:val="000000"/>
                <w:sz w:val="20"/>
                <w:szCs w:val="20"/>
              </w:rPr>
              <w:t xml:space="preserve">[REQ] Fair and Reasonable Cost Determination
I hereby determine that the anticipated price to the Government for this contract 
action will be fair and reasonable as the selected SDVOSB vendor is expected to 
offer pricing consistent with market rates and prior procurements of similar scope 
and complexity. If necessary, further price analysis will be conducted in accordance 
with FAR 15.404-1(b) to ensure the reasonableness of the proposed pricing.</w:t>
            </w:r>
          </w:p>
          <w:p>
            <w:pPr>
              <w:pStyle w:val="ListParagraph"/>
              <w:numPr>
                <w:ilvl w:val="0"/>
                <w:numId w:val="2"/>
              </w:numPr>
            </w:pPr>
            <w:r>
              <w:rPr>
                <w:i w:val="false"/>
                <w:iCs w:val="false"/>
                <w:color w:val="000000"/>
                <w:sz w:val="20"/>
                <w:szCs w:val="20"/>
              </w:rPr>
              <w:t xml:space="preserve">[REQ] (e) Relationship to termination clause, if applicable. If the Government terminates this contract in whole or in part under the Termination for cause paragraph, FAR 52.212–4(m), Contract Terms and Conditions—Commercial Products and Commercial Services, the Contractor is liable for damages accruing until the Government reasonably obtains delivery or performance of similar supplies or services. These damages are in addition to costs of repurchase as may be required under the Termination clause.</w:t>
            </w:r>
          </w:p>
          <w:p>
            <w:pPr>
              <w:pStyle w:val="ListParagraph"/>
              <w:numPr>
                <w:ilvl w:val="0"/>
                <w:numId w:val="2"/>
              </w:numPr>
            </w:pPr>
            <w:r>
              <w:rPr>
                <w:i w:val="false"/>
                <w:iCs w:val="false"/>
                <w:color w:val="000000"/>
                <w:sz w:val="20"/>
                <w:szCs w:val="20"/>
              </w:rPr>
              <w:t xml:space="preserve">[REQ] this with the VA. Varian has agreed to move away from the VA but allow the 
subcontractor to manage the infrastructure stay in place with a SDVOSB that they 
currently work with. Now this system is near end of life and needs a new system 
purchased prior to the end of December to be built and replaced while maintaining 
the Varian infrastructure already set up ensures updates are maintained, 
vulnerabilities are addressed, and backups are secured. Without implementing this 
system Radiation Oncology is at risk of losing all backup data for the delivery of life-
saving cancer treatments to Veterans. These proprietary systems manage essential 
functions such as treatment planning, radiation delivery, quality assurance, and 
patient record-keeping and radiation specific data. The loss of this data could cause 
significant clinical harm and potentially death to Veterans if the new system is not 
procured through this method which would allow quick and proven successful 
migration and implementation.   
The proposed source for this acquisition VFI is a certified SDVOSB and is 
technically qualified to take over the service of the Legacy Solution. The existing 
support ends December 31, 2025, however, there is continued need for this service. 
VFI has been the servicing subcontractor on the original competitive task order and 
has performed successfully to date.  The contractor on the original competitive task 
order will no longer be supporting the Software Services as a prime vendor and will 
be transitioning support to VFI. 
This award is in the best interest of the Government because the current prime 
vendor, Varian, is discontinuing support of this service after December 31, 2025. 
The subcontractor, VFI, has been doing the work during the initial contract with the 
current prime vendor. The subcontractor can continue with the same level of service. 
VFI has extensive experience working specifically with the legacy solution. 
Additionally, VFI has extensive experience working with VA cybersecurity 
requirements and VA medical device and equipment requirements. Furthermore, VFI 
is willing and able to provide the replacement solution, project plan, and ongoing 
support required to maintain compliance with the evolving VA security standards.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SEC-PP-2. Contract Reference 1</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[Review RFP Section L for specific requirements for Contract Reference 1]</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E4D5F0" w:val="clear"/>
          </w:tcPr>
          <w:p>
            <w:pPr>
              <w:spacing w:after="80"/>
            </w:pPr>
            <w:r>
              <w:rPr>
                <w:b/>
                <w:bCs/>
                <w:color w:val="7030A0"/>
                <w:sz w:val="18"/>
                <w:szCs w:val="18"/>
                <w:smallCaps/>
              </w:rPr>
              <w:t xml:space="preserve">SECTION C/PWS - TECHNICAL REQUIREMENTS</w:t>
            </w:r>
          </w:p>
          <w:p>
            <w:pPr>
              <w:pStyle w:val="ListParagraph"/>
              <w:numPr>
                <w:ilvl w:val="0"/>
                <w:numId w:val="2"/>
              </w:numPr>
            </w:pPr>
            <w:r>
              <w:rPr>
                <w:i w:val="false"/>
                <w:iCs w:val="false"/>
                <w:color w:val="000000"/>
                <w:sz w:val="20"/>
                <w:szCs w:val="20"/>
              </w:rPr>
              <w:t xml:space="preserve">[REQ] The Contractor shall provide all maintenance services in a timely manner in accordance with the Contractor’s customary practice or as defined in the Performance Work Statement or Product Description.  However, prolonged delay (exceeding 2 business days) in resolving software problems will be noted in the Government’s various past performance records on the Contractor. (https://www.cpars.gov/cparsweb/home)</w:t>
            </w:r>
          </w:p>
          <w:p>
            <w:pPr>
              <w:pStyle w:val="ListParagraph"/>
              <w:numPr>
                <w:ilvl w:val="0"/>
                <w:numId w:val="2"/>
              </w:numPr>
            </w:pPr>
            <w:r>
              <w:rPr>
                <w:i w:val="false"/>
                <w:iCs w:val="false"/>
                <w:color w:val="000000"/>
                <w:sz w:val="20"/>
                <w:szCs w:val="20"/>
              </w:rPr>
              <w:t xml:space="preserve">[REQ] Fair and Reasonable Cost Determination
I hereby determine that the anticipated price to the Government for this contract 
action will be fair and reasonable as the selected SDVOSB vendor is expected to 
offer pricing consistent with market rates and prior procurements of similar scope 
and complexity. If necessary, further price analysis will be conducted in accordance 
with FAR 15.404-1(b) to ensure the reasonableness of the proposed pricing.</w:t>
            </w:r>
          </w:p>
          <w:p>
            <w:pPr>
              <w:pStyle w:val="ListParagraph"/>
              <w:numPr>
                <w:ilvl w:val="0"/>
                <w:numId w:val="2"/>
              </w:numPr>
            </w:pPr>
            <w:r>
              <w:rPr>
                <w:i w:val="false"/>
                <w:iCs w:val="false"/>
                <w:color w:val="000000"/>
                <w:sz w:val="20"/>
                <w:szCs w:val="20"/>
              </w:rPr>
              <w:t xml:space="preserve">[REQ] (e) Relationship to termination clause, if applicable. If the Government terminates this contract in whole or in part under the Termination for cause paragraph, FAR 52.212–4(m), Contract Terms and Conditions—Commercial Products and Commercial Services, the Contractor is liable for damages accruing until the Government reasonably obtains delivery or performance of similar supplies or services. These damages are in addition to costs of repurchase as may be required under the Termination clause.</w:t>
            </w:r>
          </w:p>
          <w:p>
            <w:pPr>
              <w:pStyle w:val="ListParagraph"/>
              <w:numPr>
                <w:ilvl w:val="0"/>
                <w:numId w:val="2"/>
              </w:numPr>
            </w:pPr>
            <w:r>
              <w:rPr>
                <w:i w:val="false"/>
                <w:iCs w:val="false"/>
                <w:color w:val="000000"/>
                <w:sz w:val="20"/>
                <w:szCs w:val="20"/>
              </w:rPr>
              <w:t xml:space="preserve">[REQ] this with the VA. Varian has agreed to move away from the VA but allow the 
subcontractor to manage the infrastructure stay in place with a SDVOSB that they 
currently work with. Now this system is near end of life and needs a new system 
purchased prior to the end of December to be built and replaced while maintaining 
the Varian infrastructure already set up ensures updates are maintained, 
vulnerabilities are addressed, and backups are secured. Without implementing this 
system Radiation Oncology is at risk of losing all backup data for the delivery of life-
saving cancer treatments to Veterans. These proprietary systems manage essential 
functions such as treatment planning, radiation delivery, quality assurance, and 
patient record-keeping and radiation specific data. The loss of this data could cause 
significant clinical harm and potentially death to Veterans if the new system is not 
procured through this method which would allow quick and proven successful 
migration and implementation.   
The proposed source for this acquisition VFI is a certified SDVOSB and is 
technically qualified to take over the service of the Legacy Solution. The existing 
support ends December 31, 2025, however, there is continued need for this service. 
VFI has been the servicing subcontractor on the original competitive task order and 
has performed successfully to date.  The contractor on the original competitive task 
order will no longer be supporting the Software Services as a prime vendor and will 
be transitioning support to VFI. 
This award is in the best interest of the Government because the current prime 
vendor, Varian, is discontinuing support of this service after December 31, 2025. 
The subcontractor, VFI, has been doing the work during the initial contract with the 
current prime vendor. The subcontractor can continue with the same level of service. 
VFI has extensive experience working specifically with the legacy solution. 
Additionally, VFI has extensive experience working with VA cybersecurity 
requirements and VA medical device and equipment requirements. Furthermore, VFI 
is willing and able to provide the replacement solution, project plan, and ongoing 
support required to maintain compliance with the evolving VA security standards.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SEC-PP-3. Contract Reference 2</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[Review RFP Section L for specific requirements for Contract Reference 2]</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E4D5F0" w:val="clear"/>
          </w:tcPr>
          <w:p>
            <w:pPr>
              <w:spacing w:after="80"/>
            </w:pPr>
            <w:r>
              <w:rPr>
                <w:b/>
                <w:bCs/>
                <w:color w:val="7030A0"/>
                <w:sz w:val="18"/>
                <w:szCs w:val="18"/>
                <w:smallCaps/>
              </w:rPr>
              <w:t xml:space="preserve">SECTION C/PWS - TECHNICAL REQUIREMENTS</w:t>
            </w:r>
          </w:p>
          <w:p>
            <w:pPr>
              <w:pStyle w:val="ListParagraph"/>
              <w:numPr>
                <w:ilvl w:val="0"/>
                <w:numId w:val="2"/>
              </w:numPr>
            </w:pPr>
            <w:r>
              <w:rPr>
                <w:i w:val="false"/>
                <w:iCs w:val="false"/>
                <w:color w:val="000000"/>
                <w:sz w:val="20"/>
                <w:szCs w:val="20"/>
              </w:rPr>
              <w:t xml:space="preserve">[REQ] The Contractor shall provide all maintenance services in a timely manner in accordance with the Contractor’s customary practice or as defined in the Performance Work Statement or Product Description.  However, prolonged delay (exceeding 2 business days) in resolving software problems will be noted in the Government’s various past performance records on the Contractor. (https://www.cpars.gov/cparsweb/home)</w:t>
            </w:r>
          </w:p>
          <w:p>
            <w:pPr>
              <w:pStyle w:val="ListParagraph"/>
              <w:numPr>
                <w:ilvl w:val="0"/>
                <w:numId w:val="2"/>
              </w:numPr>
            </w:pPr>
            <w:r>
              <w:rPr>
                <w:i w:val="false"/>
                <w:iCs w:val="false"/>
                <w:color w:val="000000"/>
                <w:sz w:val="20"/>
                <w:szCs w:val="20"/>
              </w:rPr>
              <w:t xml:space="preserve">[REQ] Fair and Reasonable Cost Determination
I hereby determine that the anticipated price to the Government for this contract 
action will be fair and reasonable as the selected SDVOSB vendor is expected to 
offer pricing consistent with market rates and prior procurements of similar scope 
and complexity. If necessary, further price analysis will be conducted in accordance 
with FAR 15.404-1(b) to ensure the reasonableness of the proposed pricing.</w:t>
            </w:r>
          </w:p>
          <w:p>
            <w:pPr>
              <w:pStyle w:val="ListParagraph"/>
              <w:numPr>
                <w:ilvl w:val="0"/>
                <w:numId w:val="2"/>
              </w:numPr>
            </w:pPr>
            <w:r>
              <w:rPr>
                <w:i w:val="false"/>
                <w:iCs w:val="false"/>
                <w:color w:val="000000"/>
                <w:sz w:val="20"/>
                <w:szCs w:val="20"/>
              </w:rPr>
              <w:t xml:space="preserve">[REQ] (e) Relationship to termination clause, if applicable. If the Government terminates this contract in whole or in part under the Termination for cause paragraph, FAR 52.212–4(m), Contract Terms and Conditions—Commercial Products and Commercial Services, the Contractor is liable for damages accruing until the Government reasonably obtains delivery or performance of similar supplies or services. These damages are in addition to costs of repurchase as may be required under the Termination clause.</w:t>
            </w:r>
          </w:p>
          <w:p>
            <w:pPr>
              <w:pStyle w:val="ListParagraph"/>
              <w:numPr>
                <w:ilvl w:val="0"/>
                <w:numId w:val="2"/>
              </w:numPr>
            </w:pPr>
            <w:r>
              <w:rPr>
                <w:i w:val="false"/>
                <w:iCs w:val="false"/>
                <w:color w:val="000000"/>
                <w:sz w:val="20"/>
                <w:szCs w:val="20"/>
              </w:rPr>
              <w:t xml:space="preserve">[REQ] this with the VA. Varian has agreed to move away from the VA but allow the 
subcontractor to manage the infrastructure stay in place with a SDVOSB that they 
currently work with. Now this system is near end of life and needs a new system 
purchased prior to the end of December to be built and replaced while maintaining 
the Varian infrastructure already set up ensures updates are maintained, 
vulnerabilities are addressed, and backups are secured. Without implementing this 
system Radiation Oncology is at risk of losing all backup data for the delivery of life-
saving cancer treatments to Veterans. These proprietary systems manage essential 
functions such as treatment planning, radiation delivery, quality assurance, and 
patient record-keeping and radiation specific data. The loss of this data could cause 
significant clinical harm and potentially death to Veterans if the new system is not 
procured through this method which would allow quick and proven successful 
migration and implementation.   
The proposed source for this acquisition VFI is a certified SDVOSB and is 
technically qualified to take over the service of the Legacy Solution. The existing 
support ends December 31, 2025, however, there is continued need for this service. 
VFI has been the servicing subcontractor on the original competitive task order and 
has performed successfully to date.  The contractor on the original competitive task 
order will no longer be supporting the Software Services as a prime vendor and will 
be transitioning support to VFI. 
This award is in the best interest of the Government because the current prime 
vendor, Varian, is discontinuing support of this service after December 31, 2025. 
The subcontractor, VFI, has been doing the work during the initial contract with the 
current prime vendor. The subcontractor can continue with the same level of service. 
VFI has extensive experience working specifically with the legacy solution. 
Additionally, VFI has extensive experience working with VA cybersecurity 
requirements and VA medical device and equipment requirements. Furthermore, VFI 
is willing and able to provide the replacement solution, project plan, and ongoing 
support required to maintain compliance with the evolving VA security standards.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SEC-PP-4. Contract Reference 3</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[Review RFP Section L for specific requirements for Contract Reference 3]</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E4D5F0" w:val="clear"/>
          </w:tcPr>
          <w:p>
            <w:pPr>
              <w:spacing w:after="80"/>
            </w:pPr>
            <w:r>
              <w:rPr>
                <w:b/>
                <w:bCs/>
                <w:color w:val="7030A0"/>
                <w:sz w:val="18"/>
                <w:szCs w:val="18"/>
                <w:smallCaps/>
              </w:rPr>
              <w:t xml:space="preserve">SECTION C/PWS - TECHNICAL REQUIREMENTS</w:t>
            </w:r>
          </w:p>
          <w:p>
            <w:pPr>
              <w:pStyle w:val="ListParagraph"/>
              <w:numPr>
                <w:ilvl w:val="0"/>
                <w:numId w:val="2"/>
              </w:numPr>
            </w:pPr>
            <w:r>
              <w:rPr>
                <w:i w:val="false"/>
                <w:iCs w:val="false"/>
                <w:color w:val="000000"/>
                <w:sz w:val="20"/>
                <w:szCs w:val="20"/>
              </w:rPr>
              <w:t xml:space="preserve">[REQ] The Contractor shall provide all maintenance services in a timely manner in accordance with the Contractor’s customary practice or as defined in the Performance Work Statement or Product Description.  However, prolonged delay (exceeding 2 business days) in resolving software problems will be noted in the Government’s various past performance records on the Contractor. (https://www.cpars.gov/cparsweb/home)</w:t>
            </w:r>
          </w:p>
          <w:p>
            <w:pPr>
              <w:pStyle w:val="ListParagraph"/>
              <w:numPr>
                <w:ilvl w:val="0"/>
                <w:numId w:val="2"/>
              </w:numPr>
            </w:pPr>
            <w:r>
              <w:rPr>
                <w:i w:val="false"/>
                <w:iCs w:val="false"/>
                <w:color w:val="000000"/>
                <w:sz w:val="20"/>
                <w:szCs w:val="20"/>
              </w:rPr>
              <w:t xml:space="preserve">[REQ] Fair and Reasonable Cost Determination
I hereby determine that the anticipated price to the Government for this contract 
action will be fair and reasonable as the selected SDVOSB vendor is expected to 
offer pricing consistent with market rates and prior procurements of similar scope 
and complexity. If necessary, further price analysis will be conducted in accordance 
with FAR 15.404-1(b) to ensure the reasonableness of the proposed pricing.</w:t>
            </w:r>
          </w:p>
          <w:p>
            <w:pPr>
              <w:pStyle w:val="ListParagraph"/>
              <w:numPr>
                <w:ilvl w:val="0"/>
                <w:numId w:val="2"/>
              </w:numPr>
            </w:pPr>
            <w:r>
              <w:rPr>
                <w:i w:val="false"/>
                <w:iCs w:val="false"/>
                <w:color w:val="000000"/>
                <w:sz w:val="20"/>
                <w:szCs w:val="20"/>
              </w:rPr>
              <w:t xml:space="preserve">[REQ] (e) Relationship to termination clause, if applicable. If the Government terminates this contract in whole or in part under the Termination for cause paragraph, FAR 52.212–4(m), Contract Terms and Conditions—Commercial Products and Commercial Services, the Contractor is liable for damages accruing until the Government reasonably obtains delivery or performance of similar supplies or services. These damages are in addition to costs of repurchase as may be required under the Termination clause.</w:t>
            </w:r>
          </w:p>
          <w:p>
            <w:pPr>
              <w:pStyle w:val="ListParagraph"/>
              <w:numPr>
                <w:ilvl w:val="0"/>
                <w:numId w:val="2"/>
              </w:numPr>
            </w:pPr>
            <w:r>
              <w:rPr>
                <w:i w:val="false"/>
                <w:iCs w:val="false"/>
                <w:color w:val="000000"/>
                <w:sz w:val="20"/>
                <w:szCs w:val="20"/>
              </w:rPr>
              <w:t xml:space="preserve">[REQ] this with the VA. Varian has agreed to move away from the VA but allow the 
subcontractor to manage the infrastructure stay in place with a SDVOSB that they 
currently work with. Now this system is near end of life and needs a new system 
purchased prior to the end of December to be built and replaced while maintaining 
the Varian infrastructure already set up ensures updates are maintained, 
vulnerabilities are addressed, and backups are secured. Without implementing this 
system Radiation Oncology is at risk of losing all backup data for the delivery of life-
saving cancer treatments to Veterans. These proprietary systems manage essential 
functions such as treatment planning, radiation delivery, quality assurance, and 
patient record-keeping and radiation specific data. The loss of this data could cause 
significant clinical harm and potentially death to Veterans if the new system is not 
procured through this method which would allow quick and proven successful 
migration and implementation.   
The proposed source for this acquisition VFI is a certified SDVOSB and is 
technically qualified to take over the service of the Legacy Solution. The existing 
support ends December 31, 2025, however, there is continued need for this service. 
VFI has been the servicing subcontractor on the original competitive task order and 
has performed successfully to date.  The contractor on the original competitive task 
order will no longer be supporting the Software Services as a prime vendor and will 
be transitioning support to VFI. 
This award is in the best interest of the Government because the current prime 
vendor, Varian, is discontinuing support of this service after December 31, 2025. 
The subcontractor, VFI, has been doing the work during the initial contract with the 
current prime vendor. The subcontractor can continue with the same level of service. 
VFI has extensive experience working specifically with the legacy solution. 
Additionally, VFI has extensive experience working with VA cybersecurity 
requirements and VA medical device and equipment requirements. Furthermore, VFI 
is willing and able to provide the replacement solution, project plan, and ongoing 
support required to maintain compliance with the evolving VA security standards.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1"/>
        <w:pageBreakBefore/>
      </w:pPr>
      <w:r>
        <w:t xml:space="preserve">VOLUME 4: COST/PRICE PROPOSAL</w:t>
      </w:r>
    </w:p>
    <w:p>
      <w:pPr>
        <w:spacing w:after="120"/>
      </w:pPr>
      <w:r>
        <w:rPr>
          <w:b/>
          <w:bCs/>
          <w:sz w:val="22"/>
          <w:szCs w:val="22"/>
        </w:rPr>
        <w:t xml:space="preserve">Page Limit: </w:t>
      </w:r>
      <w:r>
        <w:rPr>
          <w:color w:val="C00000"/>
          <w:sz w:val="22"/>
          <w:szCs w:val="22"/>
        </w:rPr>
        <w:t xml:space="preserve">No limit specified</w:t>
      </w:r>
    </w:p>
    <w:p>
      <w:pPr>
        <w:pStyle w:val="Heading2"/>
      </w:pPr>
      <w:r>
        <w:t xml:space="preserve">SEC-COST-1. Cost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[Review RFP Section L for specific requirements for Cost Summary]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SEC-COST-2. Pricing Methodology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[Review RFP Section L for specific requirements for Pricing Methodology]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E4D5F0" w:val="clear"/>
          </w:tcPr>
          <w:p>
            <w:pPr>
              <w:spacing w:after="80"/>
            </w:pPr>
            <w:r>
              <w:rPr>
                <w:b/>
                <w:bCs/>
                <w:color w:val="7030A0"/>
                <w:sz w:val="18"/>
                <w:szCs w:val="18"/>
                <w:smallCaps/>
              </w:rPr>
              <w:t xml:space="preserve">SECTION C/PWS - TECHNICAL REQUIREMENTS</w:t>
            </w:r>
          </w:p>
          <w:p>
            <w:pPr>
              <w:pStyle w:val="ListParagraph"/>
              <w:numPr>
                <w:ilvl w:val="0"/>
                <w:numId w:val="2"/>
              </w:numPr>
            </w:pPr>
            <w:r>
              <w:rPr>
                <w:i w:val="false"/>
                <w:iCs w:val="false"/>
                <w:color w:val="000000"/>
                <w:sz w:val="20"/>
                <w:szCs w:val="20"/>
              </w:rPr>
              <w:t xml:space="preserve">[REQ] The Contractor shall provide a ROISVIE delivery system, following a phased implementation approach. The Contractor shall develop a comprehensive Deployment Plan that encompasses the scope, schedule, and risk management strategies. Upon approval, the Contractor shall coordinate closely with the government’s technical teams to ensure seamless integration. Regular progress updates shall be provided to the VA project management team, addressing any issues or risks that may arise during the implementation process.</w:t>
            </w:r>
          </w:p>
          <w:p>
            <w:pPr>
              <w:pStyle w:val="ListParagraph"/>
              <w:numPr>
                <w:ilvl w:val="0"/>
                <w:numId w:val="2"/>
              </w:numPr>
            </w:pPr>
            <w:r>
              <w:rPr>
                <w:i w:val="false"/>
                <w:iCs w:val="false"/>
                <w:color w:val="000000"/>
                <w:sz w:val="20"/>
                <w:szCs w:val="20"/>
              </w:rPr>
              <w:t xml:space="preserve">[REQ] The Contractor shall provide a Test Plan and testing support to the ROISVIE systems. The Contractor shall provide implementation, configuration, and change management services that are consistent with VA’s standard implementation and deployment methodology and configure to meet all VA’s requirements as stipulated in this PD. The Contractor shall provide sustainment support of new radiation oncology information systems virtual infrastructure environment (ROISVIE) to include hardware and software upgrade through the contract POP.  The infrastructure needs to be able to host per Durham VAMC.</w:t>
            </w:r>
          </w:p>
          <w:p>
            <w:pPr>
              <w:pStyle w:val="ListParagraph"/>
              <w:numPr>
                <w:ilvl w:val="0"/>
                <w:numId w:val="2"/>
              </w:numPr>
            </w:pPr>
            <w:r>
              <w:rPr>
                <w:i w:val="false"/>
                <w:iCs w:val="false"/>
                <w:color w:val="000000"/>
                <w:sz w:val="20"/>
                <w:szCs w:val="20"/>
              </w:rPr>
              <w:t xml:space="preserve">[REQ] The Contractor shall maintain everything (e.g., backups, hardware, software, network equipment, etc.) needed to ensure all underlying systems and supporting services, hardware, and software (e.g., OS, Network Management Systems, etc.) operate at four nines (99.99%) uptime availability in support of the hosted applications. VA will be responsible for the Services and Applications themselves, but the Contractor shall provide support to the Government team (may include support contractors) responsible for those Services and Applications. The Contractor shall follow best practices and recommendations not to exceed the scope of this contract.</w:t>
            </w:r>
          </w:p>
          <w:p>
            <w:pPr>
              <w:pStyle w:val="ListParagraph"/>
              <w:numPr>
                <w:ilvl w:val="0"/>
                <w:numId w:val="2"/>
              </w:numPr>
            </w:pPr>
            <w:r>
              <w:rPr>
                <w:i w:val="false"/>
                <w:iCs w:val="false"/>
                <w:color w:val="000000"/>
                <w:sz w:val="20"/>
                <w:szCs w:val="20"/>
              </w:rPr>
              <w:t xml:space="preserve">[REQ] The Contractor solution shall support IPv6-Only based upon the memo issued by the Office of Management and Budget (OMB) on November 19, 2020 (https://www.whitehouse.gov/wp-content/uploads/2020/11/M-21-07.pdf). Which defines IPv6-only as the state of an operational system or service when IPv4 protocol functions (addressing, packet forwarding) are not in use. The NIST USGv6 profile defines technical requirements for a product to be capable of operating in IPv6-Only environments.  IPv6-Only technology, in accordance with the USGv6 Program (https://www.nist.gov/programs-projects/usgv6-program/usgv6-revision-1), NIST Special Publication (SP) 500-267B Revision 1 “USGv6 Profile” (https://doi.org/10.6028/NIST.SP.500-267Br1), and NIST SP 800-119 “Guidelines for the Secure Deployment of IPv6” (https://doi.org/10.6028/NIST.SP.800-119), compliance shall be included in all IT infrastructures, application designs, application development, operational systems and sub-systems, and their integration.  In addition to the above requirements, all devices, applications, and systems shall support all applicable functionality on native IPv6-Only as well as dual stack (IPv6 / IPv4) connectivity without additional memory or other resources being provided by the Government, so that they can function in a mixed environment.  All public/external facing servers and services (e.g., web, email, DNS, ISP services, etc.) shall support native IPv6-Only and dual stack (IPv6 / IPv4) users and all internal infrastructure and applications shall support using native IPv6-Only and dual stack (IPv6 / IPv4) for all functionality and operations.</w:t>
            </w:r>
          </w:p>
          <w:p>
            <w:pPr>
              <w:pStyle w:val="ListParagraph"/>
              <w:numPr>
                <w:ilvl w:val="0"/>
                <w:numId w:val="2"/>
              </w:numPr>
            </w:pPr>
            <w:r>
              <w:rPr>
                <w:i w:val="false"/>
                <w:iCs w:val="false"/>
                <w:color w:val="000000"/>
                <w:sz w:val="20"/>
                <w:szCs w:val="20"/>
              </w:rPr>
              <w:t xml:space="preserve">[REQ] Contractor supplies/delivered Medical Devices, Special Purpose Systems-Operational Technology (SPS-OT) and Research Scientific Computing Devices shall comply with all applicable Federal law, regulations, and VA policies. New developments require creation, testing, evaluation, and authorization in compliance with processes specified on the Specialized Device Cybersecurity Department Enterprise Risk Management (SDCD-ERM) Portal, VA Directive 6550, Pre-Procurement Assessment and Implementation of Medical Devices/Systems, VA Handbook 6500, and the VA Information Security Knowledge Service. Deviations from Federal law, regulations, and VA Policy are identified and documented as part of VA Directive 6550 and/or the VA Enterprise Risk Analysis (ERA) processes for Speci</w:t>
            </w:r>
          </w:p>
          <w:p>
            <w:pPr>
              <w:pStyle w:val="ListParagraph"/>
              <w:numPr>
                <w:ilvl w:val="0"/>
                <w:numId w:val="2"/>
              </w:numPr>
            </w:pPr>
            <w:r>
              <w:rPr>
                <w:i w:val="false"/>
                <w:iCs w:val="false"/>
                <w:color w:val="000000"/>
                <w:sz w:val="20"/>
                <w:szCs w:val="20"/>
              </w:rPr>
              <w:t xml:space="preserve">[REQ] this with the VA. Varian has agreed to move away from the VA but allow the 
subcontractor to manage the infrastructure stay in place with a SDVOSB that they 
currently work with. Now this system is near end of life and needs a new system 
purchased prior to the end of December to be built and replaced while maintaining 
the Varian infrastructure already set up ensures updates are maintained, 
vulnerabilities are addressed, and backups are secured. Without implementing this 
system Radiation Oncology is at risk of losing all backup data for the delivery of life-
saving cancer treatments to Veterans. These proprietary systems manage essential 
functions such as treatment planning, radiation delivery, quality assurance, and 
patient record-keeping and radiation specific data. The loss of this data could cause 
significant clinical harm and potentially death to Veterans if the new system is not 
procured through this method which would allow quick and proven successful 
migration and implementation.   
The proposed source for this acquisition VFI is a certified SDVOSB and is 
technically qualified to take over the service of the Legacy Solution. The existing 
support ends December 31, 2025, however, there is continued need for this service. 
VFI has been the servicing subcontractor on the original competitive task order and 
has performed successfully to date.  The contractor on the original competitive task 
order will no longer be supporting the Software Services as a prime vendor and will 
be transitioning support to VFI. 
This award is in the best interest of the Government because the current prime 
vendor, Varian, is discontinuing support of this service after December 31, 2025. 
The subcontractor, VFI, has been doing the work during the initial contract with the 
current prime vendor. The subcontractor can continue with the same level of service. 
VFI has extensive experience working specifically with the legacy solution. 
Additionally, VFI has extensive experience working with VA cybersecurity 
requirements and VA medical device and equipment requirements. Furthermore, VFI 
is willing and able to provide the replacement solution, project plan, and ongoing 
support required to maintain compliance with the evolving VA security standards.</w:t>
            </w:r>
          </w:p>
          <w:p>
            <w:pPr>
              <w:pStyle w:val="ListParagraph"/>
              <w:numPr>
                <w:ilvl w:val="0"/>
                <w:numId w:val="2"/>
              </w:numPr>
            </w:pPr>
            <w:r>
              <w:rPr>
                <w:i w:val="false"/>
                <w:iCs w:val="false"/>
                <w:color w:val="000000"/>
                <w:sz w:val="20"/>
                <w:szCs w:val="20"/>
              </w:rPr>
              <w:t xml:space="preserve">[REQ] Contractor supplies/delivered Medical Devices, Special Purpose Systems-Operational Technology (SPS-OT) and Research Scientific Computing Devices shall comply with all applicable Federal law, regulations, and VA policies. New developments require creation, testing, evaluation, and authorization in compliance with processes specified on the Specialized Device Cybersecurity Department Enterprise Risk Management (SDCD-ERM) Portal, VA Directive 6550, Pre-Procurement Assessment and Implementation of Medical Devices/Systems, VA Handbook 6500, and the VA Information Security Knowledge Service. Deviations from Federal law, regulations, and VA Policy are identified and documented as part of VA Directive 6550 and/or the VA Enterprise Risk Analysis (ERA) processes for Specialized Devices/Systems processes.</w:t>
            </w:r>
          </w:p>
          <w:p>
            <w:pPr>
              <w:pStyle w:val="ListParagraph"/>
              <w:numPr>
                <w:ilvl w:val="0"/>
                <w:numId w:val="2"/>
              </w:numPr>
            </w:pPr>
            <w:r>
              <w:rPr>
                <w:i w:val="false"/>
                <w:iCs w:val="false"/>
                <w:color w:val="000000"/>
                <w:sz w:val="20"/>
                <w:szCs w:val="20"/>
              </w:rPr>
              <w:t xml:space="preserve">[REQ] VA has established minimum mandatory security requirements and requires that any network connected software system or service must meet the VA Critical Security Controls as outlined in the VA Memorandum, “VA Security Controls”, https://www.voa.va.gov/DocumentView.aspx?DocumentID=5010.  VA Critical Security Controls identify the minimum mandatory requirements that must be implemented across all VA enterprise infrastructure, cloud computing environments, information systems, networks, and specialized devices (medical devices/systems, special-purpose systems, and research scientific computing devices) that process, store, and/or transmit VA data.  Effective July 1, 2025, the Contractor shall implement these VA Critical Security Controls, within any network connected software system or service prior to being authorized for use in the VA.  This functional requirement is not negotiable, and Plan of Action &amp; Milestones (POAM) will not be accepted in the event these controls cannot be implemented for new systems.  Critical Security Controls are intended to increase VA’s security posture and provide security and privacy risk visibility into the VA network and is not a new requirement.  The Contractor’s failure to maintain these VA Critical Controls after implementation will result in VA discontinuing the use of the system.</w:t>
            </w:r>
          </w:p>
          <w:p>
            <w:pPr>
              <w:pStyle w:val="ListParagraph"/>
              <w:numPr>
                <w:ilvl w:val="0"/>
                <w:numId w:val="2"/>
              </w:numPr>
            </w:pPr>
            <w:r>
              <w:rPr>
                <w:i w:val="false"/>
                <w:iCs w:val="false"/>
                <w:color w:val="000000"/>
                <w:sz w:val="20"/>
                <w:szCs w:val="20"/>
              </w:rPr>
              <w:t xml:space="preserve">[REQ] The Contractor shall design, develop, and implement security and privacy controls in accordance with the provisions of VA security system development life cycle outlined in NIST 800-37, Risk Management Framework for Information Systems and Organizations: A System Life Cycle Approach for Security and Privacy, VA Directive and Handbook 6500, and VA Handbook 6517.</w:t>
            </w:r>
          </w:p>
          <w:p>
            <w:pPr>
              <w:pStyle w:val="ListParagraph"/>
              <w:numPr>
                <w:ilvl w:val="0"/>
                <w:numId w:val="2"/>
              </w:numPr>
            </w:pPr>
            <w:r>
              <w:rPr>
                <w:i w:val="false"/>
                <w:iCs w:val="false"/>
                <w:color w:val="000000"/>
                <w:sz w:val="20"/>
                <w:szCs w:val="20"/>
              </w:rPr>
              <w:t xml:space="preserve">[REQ] The Contractor shall support local on-site Disaster Recovery (DR) testing as deemed necessary by the ROISVIE PM. The Contractor shall develop a Disaster Recovery Plan (DRP) and Continuity of Operations (COOP) maintained by Durham Information Technology Center (DITC) and in accordance with VA Handbook 6500. The Contractor shall also support the transition to Mission Critical status in the DR environment. In an event that results in system crash and potential data loss, the Contractor shall support Durham personnel in roll-backs and other VA approved COOP procedures.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04040"/>
        <w:sz w:val="16"/>
        <w:szCs w:val="16"/>
      </w:rPr>
      <w:t xml:space="preserve">[Your Company Name] PROPRIETARY - </w:t>
    </w: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04040"/>
        <w:sz w:val="18"/>
        <w:szCs w:val="18"/>
      </w:rPr>
      <w:t xml:space="preserve">36C10B26Q0064_1 - ANNOTATED OUTLINE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b/>
      <w:bCs/>
      <w:color w:val="000000"/>
      <w:sz w:val="48"/>
      <w:szCs w:val="48"/>
      <w:rFonts w:ascii="Arial" w:cs="Arial" w:eastAsia="Arial" w:hAnsi="Arial"/>
    </w:rPr>
  </w:style>
  <w:style w:type="paragraph" w:styleId="Heading1">
    <w:name w:val="Heading 1"/>
    <w:basedOn w:val="Normal"/>
    <w:next w:val="Normal"/>
    <w:qFormat/>
    <w:pPr>
      <w:spacing w:before="360" w:after="120"/>
      <w:outlineLvl w:val="0"/>
    </w:pPr>
    <w:rPr>
      <w:b/>
      <w:bCs/>
      <w:color w:val="000000"/>
      <w:sz w:val="32"/>
      <w:szCs w:val="32"/>
      <w:rFonts w:ascii="Arial" w:cs="Arial" w:eastAsia="Arial" w:hAnsi="Arial"/>
    </w:rPr>
  </w:style>
  <w:style w:type="paragraph" w:styleId="Heading2">
    <w:name w:val="Heading 2"/>
    <w:basedOn w:val="Normal"/>
    <w:next w:val="Normal"/>
    <w:qFormat/>
    <w:pPr>
      <w:spacing w:before="240" w:after="120"/>
      <w:outlineLvl w:val="1"/>
    </w:pPr>
    <w:rPr>
      <w:b/>
      <w:bCs/>
      <w:color w:val="404040"/>
      <w:sz w:val="26"/>
      <w:szCs w:val="26"/>
      <w:rFonts w:ascii="Arial" w:cs="Arial" w:eastAsia="Arial" w:hAnsi="Arial"/>
    </w:rPr>
  </w:style>
  <w:style w:type="paragraph" w:styleId="Heading3">
    <w:name w:val="Heading 3"/>
    <w:basedOn w:val="Normal"/>
    <w:next w:val="Normal"/>
    <w:qFormat/>
    <w:pPr>
      <w:spacing w:before="200" w:after="100"/>
      <w:outlineLvl w:val="2"/>
    </w:pPr>
    <w:rPr>
      <w:b/>
      <w:bCs/>
      <w:color w:val="404040"/>
      <w:sz w:val="24"/>
      <w:szCs w:val="24"/>
      <w:rFonts w:ascii="Arial" w:cs="Arial" w:eastAsia="Arial" w:hAnsi="Arial"/>
    </w:rPr>
  </w:style>
  <w:style w:type="paragraph" w:styleId="AnnotationLabel">
    <w:name w:val="Annotation Label"/>
    <w:basedOn w:val="Normal"/>
    <w:pPr>
      <w:spacing w:before="60" w:after="40"/>
    </w:pPr>
    <w:rPr>
      <w:b/>
      <w:bCs/>
      <w:sz w:val="18"/>
      <w:szCs w:val="18"/>
      <w:smallCaps/>
      <w:rFonts w:ascii="Arial" w:cs="Arial" w:eastAsia="Arial" w:hAnsi="Arial"/>
    </w:rPr>
  </w:style>
  <w:style w:type="paragraph" w:styleId="RequirementText">
    <w:name w:val="Requirement Text"/>
    <w:basedOn w:val="Normal"/>
    <w:pPr>
      <w:spacing w:before="40" w:after="40"/>
      <w:ind w:left="360"/>
    </w:pPr>
    <w:rPr>
      <w:i/>
      <w:iCs/>
      <w:sz w:val="20"/>
      <w:szCs w:val="20"/>
      <w:rFonts w:ascii="Arial" w:cs="Arial" w:eastAsia="Arial" w:hAnsi="Arial"/>
    </w:rPr>
  </w:style>
  <w:style w:type="paragraph" w:styleId="WriterGuidance">
    <w:name w:val="Writer Guidance"/>
    <w:basedOn w:val="Normal"/>
    <w:pPr>
      <w:spacing w:before="80" w:after="80"/>
      <w:ind w:left="360"/>
    </w:pPr>
    <w:rPr>
      <w:color w:val="404040"/>
      <w:sz w:val="20"/>
      <w:szCs w:val="20"/>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2025-12-14T17:57:19.428Z</dcterms:created>
  <dcterms:modified xsi:type="dcterms:W3CDTF">2025-12-14T17:57:19.428Z</dcterms:modified>
</cp:coreProperties>
</file>

<file path=docProps/custom.xml><?xml version="1.0" encoding="utf-8"?>
<Properties xmlns="http://schemas.openxmlformats.org/officeDocument/2006/custom-properties" xmlns:vt="http://schemas.openxmlformats.org/officeDocument/2006/docPropsVTypes"/>
</file>