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ANNOTATED PROPOSAL OUTLINE</w:t>
      </w:r>
    </w:p>
    <w:p>
      <w:pPr>
        <w:spacing w:before="400" w:after="400"/>
        <w:jc w:val="center"/>
      </w:pPr>
      <w:r>
        <w:rPr>
          <w:b/>
          <w:bCs/>
          <w:color w:val="000000"/>
          <w:sz w:val="36"/>
          <w:szCs w:val="36"/>
        </w:rPr>
        <w:t xml:space="preserve">procedures in providing written objection to the use of non-government advisors.</w:t>
      </w:r>
    </w:p>
    <w:p>
      <w:pPr>
        <w:spacing w:after="200"/>
        <w:jc w:val="center"/>
      </w:pPr>
      <w:r>
        <w:rPr>
          <w:sz w:val="24"/>
          <w:szCs w:val="24"/>
        </w:rPr>
        <w:t xml:space="preserve">Solicitation Number: TBD</w:t>
      </w:r>
    </w:p>
    <w:p>
      <w:pPr>
        <w:spacing w:after="600"/>
        <w:jc w:val="center"/>
      </w:pPr>
      <w:r>
        <w:rPr>
          <w:b/>
          <w:bCs/>
          <w:color w:val="C00000"/>
          <w:sz w:val="24"/>
          <w:szCs w:val="24"/>
        </w:rPr>
        <w:t xml:space="preserve">Proposal Due: TBD</w:t>
      </w:r>
    </w:p>
    <w:p>
      <w:pPr>
        <w:spacing w:before="800"/>
        <w:jc w:val="center"/>
      </w:pPr>
      <w:r>
        <w:rPr>
          <w:sz w:val="22"/>
          <w:szCs w:val="22"/>
        </w:rPr>
        <w:t xml:space="preserve">Prepared by: [Your Company Name]</w:t>
      </w:r>
    </w:p>
    <w:p>
      <w:pPr>
        <w:pBdr>
          <w:top w:val="single" w:color="000000" w:sz="6"/>
        </w:pBdr>
        <w:spacing w:before="1200" w:after="400"/>
        <w:jc w:val="center"/>
      </w:pPr>
      <w:r>
        <w:rPr>
          <w:i/>
          <w:iCs/>
          <w:sz w:val="20"/>
          <w:szCs w:val="20"/>
        </w:rPr>
        <w:t xml:space="preserve">This annotated outline serves as the master template for all proposal content development. </w:t>
      </w:r>
      <w:r>
        <w:rPr>
          <w:i/>
          <w:iCs/>
          <w:sz w:val="20"/>
          <w:szCs w:val="20"/>
        </w:rPr>
        <w:t xml:space="preserve">All writers must address every annotated requirement and follow the page allocations specified.</w:t>
      </w:r>
    </w:p>
    <w:p>
      <w:r>
        <w:br w:type="page"/>
      </w:r>
    </w:p>
    <w:p>
      <w:pPr>
        <w:pStyle w:val="Heading1"/>
      </w:pPr>
      <w:r>
        <w:t xml:space="preserve">SUBMISSION &amp; FORMAT REQUIREMENTS</w:t>
      </w:r>
    </w:p>
    <w:p>
      <w:pPr>
        <w:spacing w:after="200"/>
      </w:pPr>
      <w:r>
        <w:rPr>
          <w:b/>
          <w:bCs/>
          <w:color w:val="C00000"/>
        </w:rPr>
        <w:t xml:space="preserve">CRITICAL: Non-compliance with format requirements may result in proposal disqualification.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C000" w:val="clear"/>
          </w:tcPr>
          <w:p>
            <w:r>
              <w:rPr>
                <w:b/>
                <w:bCs/>
                <w:sz w:val="22"/>
                <w:szCs w:val="22"/>
              </w:rPr>
              <w:t xml:space="preserve">Due Date</w:t>
            </w:r>
          </w:p>
        </w:tc>
        <w:tc>
          <w:tcPr>
            <w:tcW w:type="dxa" w:w="6360"/>
            <w:tcBorders>
              <w:top w:val="single" w:color="CCCCCC" w:sz="1"/>
              <w:left w:val="single" w:color="CCCCCC" w:sz="1"/>
              <w:bottom w:val="single" w:color="CCCCCC" w:sz="1"/>
              <w:right w:val="single" w:color="CCCCCC" w:sz="1"/>
            </w:tcBorders>
            <w:shd w:fill="FFC000" w:val="clear"/>
          </w:tcPr>
          <w:p>
            <w:r>
              <w:rPr>
                <w:color w:val="000000"/>
                <w:sz w:val="22"/>
                <w:szCs w:val="22"/>
              </w:rPr>
              <w:t xml:space="preserve">TBD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Submission Method</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Electronic submission</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Total Page Limit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See individual volumes</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Times 
New Roman</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12 pt</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Margins</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Line Spacing</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Page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8.5" x 11" (Letter)</w:t>
            </w:r>
          </w:p>
        </w:tc>
      </w:tr>
    </w:tbl>
    <w:p>
      <w:pPr>
        <w:spacing w:after="200"/>
      </w:pPr>
    </w:p>
    <w:p>
      <w:pPr>
        <w:pStyle w:val="Heading2"/>
      </w:pPr>
      <w:r>
        <w:rPr>
          <w:color w:val="C00000"/>
        </w:rPr>
        <w:t xml:space="preserve">⚠️ P0 CONSTRAINTS - DISQUALIFICATION RISKS</w:t>
      </w:r>
    </w:p>
    <w:p>
      <w:pPr>
        <w:pBdr>
          <w:left w:val="single" w:color="C00000" w:sz="12"/>
        </w:pBdr>
        <w:shd w:fill="FCE4D6" w:val="clear"/>
        <w:spacing w:after="120"/>
        <w:ind w:left="180"/>
      </w:pPr>
      <w:r>
        <w:rPr>
          <w:b/>
          <w:bCs/>
          <w:color w:val="C00000"/>
          <w:sz w:val="22"/>
          <w:szCs w:val="22"/>
        </w:rPr>
        <w:t xml:space="preserve">CRITICAL: The following constraints are Pass/Fail. Violation of ANY P0 constraint may result in proposal rejection without further evaluation.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800"/>
        <w:gridCol w:w="2560"/>
      </w:tblGrid>
      <w:tr>
        <w:trPr>
          <w:tblHeader/>
        </w:trPr>
        <w:tc>
          <w:tcPr>
            <w:tcW w:type="dxa" w:w="1500"/>
            <w:tcBorders>
              <w:top w:val="single" w:color="C00000" w:sz="2"/>
              <w:left w:val="single" w:color="C00000" w:sz="2"/>
              <w:bottom w:val="single" w:color="C00000" w:sz="2"/>
              <w:right w:val="single" w:color="C00000" w:sz="2"/>
            </w:tcBorders>
            <w:shd w:fill="C00000" w:val="clear"/>
          </w:tcPr>
          <w:p>
            <w:r>
              <w:rPr>
                <w:b/>
                <w:bCs/>
                <w:color w:val="FFFFFF"/>
                <w:sz w:val="18"/>
                <w:szCs w:val="18"/>
              </w:rPr>
              <w:t xml:space="preserve">Type</w:t>
            </w:r>
          </w:p>
        </w:tc>
        <w:tc>
          <w:tcPr>
            <w:tcW w:type="dxa" w:w="3500"/>
            <w:tcBorders>
              <w:top w:val="single" w:color="C00000" w:sz="2"/>
              <w:left w:val="single" w:color="C00000" w:sz="2"/>
              <w:bottom w:val="single" w:color="C00000" w:sz="2"/>
              <w:right w:val="single" w:color="C00000" w:sz="2"/>
            </w:tcBorders>
            <w:shd w:fill="C00000" w:val="clear"/>
          </w:tcPr>
          <w:p>
            <w:r>
              <w:rPr>
                <w:b/>
                <w:bCs/>
                <w:color w:val="FFFFFF"/>
                <w:sz w:val="18"/>
                <w:szCs w:val="18"/>
              </w:rPr>
              <w:t xml:space="preserve">Constraint</w:t>
            </w:r>
          </w:p>
        </w:tc>
        <w:tc>
          <w:tcPr>
            <w:tcW w:type="dxa" w:w="1800"/>
            <w:tcBorders>
              <w:top w:val="single" w:color="C00000" w:sz="2"/>
              <w:left w:val="single" w:color="C00000" w:sz="2"/>
              <w:bottom w:val="single" w:color="C00000" w:sz="2"/>
              <w:right w:val="single" w:color="C00000" w:sz="2"/>
            </w:tcBorders>
            <w:shd w:fill="C00000" w:val="clear"/>
          </w:tcPr>
          <w:p>
            <w:r>
              <w:rPr>
                <w:b/>
                <w:bCs/>
                <w:color w:val="FFFFFF"/>
                <w:sz w:val="18"/>
                <w:szCs w:val="18"/>
              </w:rPr>
              <w:t xml:space="preserve">Applies To</w:t>
            </w:r>
          </w:p>
        </w:tc>
        <w:tc>
          <w:tcPr>
            <w:tcW w:type="dxa" w:w="2560"/>
            <w:tcBorders>
              <w:top w:val="single" w:color="C00000" w:sz="2"/>
              <w:left w:val="single" w:color="C00000" w:sz="2"/>
              <w:bottom w:val="single" w:color="C00000" w:sz="2"/>
              <w:right w:val="single" w:color="C00000" w:sz="2"/>
            </w:tcBorders>
            <w:shd w:fill="C00000" w:val="clear"/>
          </w:tcPr>
          <w:p>
            <w:r>
              <w:rPr>
                <w:b/>
                <w:bCs/>
                <w:color w:val="FFFFFF"/>
                <w:sz w:val="18"/>
                <w:szCs w:val="18"/>
              </w:rPr>
              <w:t xml:space="preserve">Consequence</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Page limit: 1 pages</w:t>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Executive Summary: 6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Management Approach (SF1): 7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Infrastructure Approach (SF2): 8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Management Approach (SF1): 10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Infrastructure Approach (SF2): 10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FONT_SIZE</w:t>
            </w:r>
          </w:p>
        </w:tc>
        <w:tc>
          <w:tcPr>
            <w:tcW w:type="dxa" w:w="3500"/>
            <w:tcBorders>
              <w:top w:val="single" w:color="C00000" w:sz="2"/>
              <w:left w:val="single" w:color="C00000" w:sz="2"/>
              <w:bottom w:val="single" w:color="C00000" w:sz="2"/>
              <w:right w:val="single" w:color="C00000" w:sz="2"/>
            </w:tcBorders>
          </w:tcPr>
          <w:p>
            <w:r>
              <w:rPr>
                <w:sz w:val="18"/>
                <w:szCs w:val="18"/>
              </w:rPr>
              <w:t xml:space="preserve">Font size: no smaller than 12-point</w:t>
            </w:r>
          </w:p>
        </w:tc>
        <w:tc>
          <w:tcPr>
            <w:tcW w:type="dxa" w:w="1800"/>
            <w:tcBorders>
              <w:top w:val="single" w:color="C00000" w:sz="2"/>
              <w:left w:val="single" w:color="C00000" w:sz="2"/>
              <w:bottom w:val="single" w:color="C00000" w:sz="2"/>
              <w:right w:val="single" w:color="C00000" w:sz="2"/>
            </w:tcBorders>
          </w:tcPr>
          <w:p>
            <w:r>
              <w:rPr>
                <w:sz w:val="18"/>
                <w:szCs w:val="18"/>
              </w:rPr>
              <w:t xml:space="preserve">Graphics/Tables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FONT_SIZE</w:t>
            </w:r>
          </w:p>
        </w:tc>
        <w:tc>
          <w:tcPr>
            <w:tcW w:type="dxa" w:w="3500"/>
            <w:tcBorders>
              <w:top w:val="single" w:color="C00000" w:sz="2"/>
              <w:left w:val="single" w:color="C00000" w:sz="2"/>
              <w:bottom w:val="single" w:color="C00000" w:sz="2"/>
              <w:right w:val="single" w:color="C00000" w:sz="2"/>
            </w:tcBorders>
          </w:tcPr>
          <w:p>
            <w:r>
              <w:rPr>
                <w:sz w:val="18"/>
                <w:szCs w:val="18"/>
              </w:rPr>
              <w:t xml:space="preserve">Font size: no smaller than 10-point</w:t>
            </w:r>
          </w:p>
        </w:tc>
        <w:tc>
          <w:tcPr>
            <w:tcW w:type="dxa" w:w="1800"/>
            <w:tcBorders>
              <w:top w:val="single" w:color="C00000" w:sz="2"/>
              <w:left w:val="single" w:color="C00000" w:sz="2"/>
              <w:bottom w:val="single" w:color="C00000" w:sz="2"/>
              <w:right w:val="single" w:color="C00000" w:sz="2"/>
            </w:tcBorders>
          </w:tcPr>
          <w:p>
            <w:r>
              <w:rPr>
                <w:sz w:val="18"/>
                <w:szCs w:val="18"/>
              </w:rPr>
              <w:t xml:space="preserve">Graphics/Tables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FONT_FAMILY</w:t>
            </w:r>
          </w:p>
        </w:tc>
        <w:tc>
          <w:tcPr>
            <w:tcW w:type="dxa" w:w="3500"/>
            <w:tcBorders>
              <w:top w:val="single" w:color="C00000" w:sz="2"/>
              <w:left w:val="single" w:color="C00000" w:sz="2"/>
              <w:bottom w:val="single" w:color="C00000" w:sz="2"/>
              <w:right w:val="single" w:color="C00000" w:sz="2"/>
            </w:tcBorders>
          </w:tcPr>
          <w:p>
            <w:r>
              <w:rPr>
                <w:sz w:val="18"/>
                <w:szCs w:val="18"/>
              </w:rPr>
              <w:t xml:space="preserve">Font family: Times 
New Roman</w:t>
            </w:r>
          </w:p>
        </w:tc>
        <w:tc>
          <w:tcPr>
            <w:tcW w:type="dxa" w:w="1800"/>
            <w:tcBorders>
              <w:top w:val="single" w:color="C00000" w:sz="2"/>
              <w:left w:val="single" w:color="C00000" w:sz="2"/>
              <w:bottom w:val="single" w:color="C00000" w:sz="2"/>
              <w:right w:val="single" w:color="C00000" w:sz="2"/>
            </w:tcBorders>
          </w:tcPr>
          <w:p>
            <w:r>
              <w:rPr>
                <w:sz w:val="18"/>
                <w:szCs w:val="18"/>
              </w:rPr>
              <w:t xml:space="preserve">All text</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FONT_FAMILY</w:t>
            </w:r>
          </w:p>
        </w:tc>
        <w:tc>
          <w:tcPr>
            <w:tcW w:type="dxa" w:w="3500"/>
            <w:tcBorders>
              <w:top w:val="single" w:color="C00000" w:sz="2"/>
              <w:left w:val="single" w:color="C00000" w:sz="2"/>
              <w:bottom w:val="single" w:color="C00000" w:sz="2"/>
              <w:right w:val="single" w:color="C00000" w:sz="2"/>
            </w:tcBorders>
          </w:tcPr>
          <w:p>
            <w:r>
              <w:rPr>
                <w:sz w:val="18"/>
                <w:szCs w:val="18"/>
              </w:rPr>
              <w:t xml:space="preserve">Font family: Times New Roman</w:t>
            </w:r>
          </w:p>
        </w:tc>
        <w:tc>
          <w:tcPr>
            <w:tcW w:type="dxa" w:w="1800"/>
            <w:tcBorders>
              <w:top w:val="single" w:color="C00000" w:sz="2"/>
              <w:left w:val="single" w:color="C00000" w:sz="2"/>
              <w:bottom w:val="single" w:color="C00000" w:sz="2"/>
              <w:right w:val="single" w:color="C00000" w:sz="2"/>
            </w:tcBorders>
          </w:tcPr>
          <w:p>
            <w:r>
              <w:rPr>
                <w:sz w:val="18"/>
                <w:szCs w:val="18"/>
              </w:rPr>
              <w:t xml:space="preserve">All text</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MARGIN</w:t>
            </w:r>
          </w:p>
        </w:tc>
        <w:tc>
          <w:tcPr>
            <w:tcW w:type="dxa" w:w="3500"/>
            <w:tcBorders>
              <w:top w:val="single" w:color="C00000" w:sz="2"/>
              <w:left w:val="single" w:color="C00000" w:sz="2"/>
              <w:bottom w:val="single" w:color="C00000" w:sz="2"/>
              <w:right w:val="single" w:color="C00000" w:sz="2"/>
            </w:tcBorders>
          </w:tcPr>
          <w:p>
            <w:r>
              <w:rPr>
                <w:sz w:val="18"/>
                <w:szCs w:val="18"/>
              </w:rPr>
              <w:t xml:space="preserve">Margins: 1-inch margins all around</w:t>
            </w:r>
          </w:p>
        </w:tc>
        <w:tc>
          <w:tcPr>
            <w:tcW w:type="dxa" w:w="1800"/>
            <w:tcBorders>
              <w:top w:val="single" w:color="C00000" w:sz="2"/>
              <w:left w:val="single" w:color="C00000" w:sz="2"/>
              <w:bottom w:val="single" w:color="C00000" w:sz="2"/>
              <w:right w:val="single" w:color="C00000" w:sz="2"/>
            </w:tcBorders>
          </w:tcPr>
          <w:p>
            <w:r>
              <w:rPr>
                <w:sz w:val="18"/>
                <w:szCs w:val="18"/>
              </w:rPr>
              <w:t xml:space="preserve">Cost worksheets (11x17)</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FILE_FORMAT</w:t>
            </w:r>
          </w:p>
        </w:tc>
        <w:tc>
          <w:tcPr>
            <w:tcW w:type="dxa" w:w="3500"/>
            <w:tcBorders>
              <w:top w:val="single" w:color="C00000" w:sz="2"/>
              <w:left w:val="single" w:color="C00000" w:sz="2"/>
              <w:bottom w:val="single" w:color="C00000" w:sz="2"/>
              <w:right w:val="single" w:color="C00000" w:sz="2"/>
            </w:tcBorders>
          </w:tcPr>
          <w:p>
            <w:r>
              <w:rPr>
                <w:sz w:val="18"/>
                <w:szCs w:val="18"/>
              </w:rPr>
              <w:t xml:space="preserve">File format: Microsoft Excel</w:t>
            </w:r>
          </w:p>
        </w:tc>
        <w:tc>
          <w:tcPr>
            <w:tcW w:type="dxa" w:w="1800"/>
            <w:tcBorders>
              <w:top w:val="single" w:color="C00000" w:sz="2"/>
              <w:left w:val="single" w:color="C00000" w:sz="2"/>
              <w:bottom w:val="single" w:color="C00000" w:sz="2"/>
              <w:right w:val="single" w:color="C00000" w:sz="2"/>
            </w:tcBorders>
          </w:tcPr>
          <w:p>
            <w:r>
              <w:rPr>
                <w:sz w:val="18"/>
                <w:szCs w:val="18"/>
              </w:rPr>
              <w:t xml:space="preserve">Electronic submission</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Files must be accessible in specified format</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FILE_FORMAT</w:t>
            </w:r>
          </w:p>
        </w:tc>
        <w:tc>
          <w:tcPr>
            <w:tcW w:type="dxa" w:w="3500"/>
            <w:tcBorders>
              <w:top w:val="single" w:color="C00000" w:sz="2"/>
              <w:left w:val="single" w:color="C00000" w:sz="2"/>
              <w:bottom w:val="single" w:color="C00000" w:sz="2"/>
              <w:right w:val="single" w:color="C00000" w:sz="2"/>
            </w:tcBorders>
          </w:tcPr>
          <w:p>
            <w:r>
              <w:rPr>
                <w:sz w:val="18"/>
                <w:szCs w:val="18"/>
              </w:rPr>
              <w:t xml:space="preserve">File format: Adobe Acrobat PDF</w:t>
            </w:r>
          </w:p>
        </w:tc>
        <w:tc>
          <w:tcPr>
            <w:tcW w:type="dxa" w:w="1800"/>
            <w:tcBorders>
              <w:top w:val="single" w:color="C00000" w:sz="2"/>
              <w:left w:val="single" w:color="C00000" w:sz="2"/>
              <w:bottom w:val="single" w:color="C00000" w:sz="2"/>
              <w:right w:val="single" w:color="C00000" w:sz="2"/>
            </w:tcBorders>
          </w:tcPr>
          <w:p>
            <w:r>
              <w:rPr>
                <w:sz w:val="18"/>
                <w:szCs w:val="18"/>
              </w:rPr>
              <w:t xml:space="preserve">Electronic submission</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Files must be accessible in specified format</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SUBMISSION_METHOD</w:t>
            </w:r>
          </w:p>
        </w:tc>
        <w:tc>
          <w:tcPr>
            <w:tcW w:type="dxa" w:w="3500"/>
            <w:tcBorders>
              <w:top w:val="single" w:color="C00000" w:sz="2"/>
              <w:left w:val="single" w:color="C00000" w:sz="2"/>
              <w:bottom w:val="single" w:color="C00000" w:sz="2"/>
              <w:right w:val="single" w:color="C00000" w:sz="2"/>
            </w:tcBorders>
          </w:tcPr>
          <w:p>
            <w:r>
              <w:rPr>
                <w:sz w:val="18"/>
                <w:szCs w:val="18"/>
              </w:rPr>
              <w:t xml:space="preserve">Electronic submission only via secure file transfer (eBuy/GSA)</w:t>
            </w:r>
          </w:p>
        </w:tc>
        <w:tc>
          <w:tcPr>
            <w:tcW w:type="dxa" w:w="1800"/>
            <w:tcBorders>
              <w:top w:val="single" w:color="C00000" w:sz="2"/>
              <w:left w:val="single" w:color="C00000" w:sz="2"/>
              <w:bottom w:val="single" w:color="C00000" w:sz="2"/>
              <w:right w:val="single" w:color="C00000" w:sz="2"/>
            </w:tcBorders>
          </w:tcPr>
          <w:p>
            <w:r>
              <w:rPr>
                <w:sz w:val="18"/>
                <w:szCs w:val="18"/>
              </w:rPr>
              <w:t xml:space="preserve">All volumes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Email and physical submissions are NOT acceptable</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DEADLINE</w:t>
            </w:r>
          </w:p>
        </w:tc>
        <w:tc>
          <w:tcPr>
            <w:tcW w:type="dxa" w:w="3500"/>
            <w:tcBorders>
              <w:top w:val="single" w:color="C00000" w:sz="2"/>
              <w:left w:val="single" w:color="C00000" w:sz="2"/>
              <w:bottom w:val="single" w:color="C00000" w:sz="2"/>
              <w:right w:val="single" w:color="C00000" w:sz="2"/>
            </w:tcBorders>
          </w:tcPr>
          <w:p>
            <w:r>
              <w:rPr>
                <w:sz w:val="18"/>
                <w:szCs w:val="18"/>
              </w:rPr>
              <w:t xml:space="preserve">Proposals must be received by deadline</w:t>
            </w:r>
          </w:p>
        </w:tc>
        <w:tc>
          <w:tcPr>
            <w:tcW w:type="dxa" w:w="1800"/>
            <w:tcBorders>
              <w:top w:val="single" w:color="C00000" w:sz="2"/>
              <w:left w:val="single" w:color="C00000" w:sz="2"/>
              <w:bottom w:val="single" w:color="C00000" w:sz="2"/>
              <w:right w:val="single" w:color="C00000" w:sz="2"/>
            </w:tcBorders>
          </w:tcPr>
          <w:p>
            <w:r>
              <w:rPr>
                <w:sz w:val="18"/>
                <w:szCs w:val="18"/>
              </w:rPr>
              <w:t xml:space="preserve">All volumes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Late proposals may make Offeror ineligible for award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RATING_THRESHOLD</w:t>
            </w:r>
          </w:p>
        </w:tc>
        <w:tc>
          <w:tcPr>
            <w:tcW w:type="dxa" w:w="3500"/>
            <w:tcBorders>
              <w:top w:val="single" w:color="C00000" w:sz="2"/>
              <w:left w:val="single" w:color="C00000" w:sz="2"/>
              <w:bottom w:val="single" w:color="C00000" w:sz="2"/>
              <w:right w:val="single" w:color="C00000" w:sz="2"/>
            </w:tcBorders>
          </w:tcPr>
          <w:p>
            <w:r>
              <w:rPr>
                <w:sz w:val="18"/>
                <w:szCs w:val="18"/>
              </w:rPr>
              <w:t xml:space="preserve">Technical subfactors must not receive 'Unacceptable' rating</w:t>
            </w:r>
          </w:p>
        </w:tc>
        <w:tc>
          <w:tcPr>
            <w:tcW w:type="dxa" w:w="1800"/>
            <w:tcBorders>
              <w:top w:val="single" w:color="C00000" w:sz="2"/>
              <w:left w:val="single" w:color="C00000" w:sz="2"/>
              <w:bottom w:val="single" w:color="C00000" w:sz="2"/>
              <w:right w:val="single" w:color="C00000" w:sz="2"/>
            </w:tcBorders>
          </w:tcPr>
          <w:p>
            <w:r>
              <w:rPr>
                <w:sz w:val="18"/>
                <w:szCs w:val="18"/>
              </w:rPr>
              <w:t xml:space="preserve">All technical subfactors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Unacceptable rating on ANY technical subfactor = ineligible for award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RATING_THRESHOLD</w:t>
            </w:r>
          </w:p>
        </w:tc>
        <w:tc>
          <w:tcPr>
            <w:tcW w:type="dxa" w:w="3500"/>
            <w:tcBorders>
              <w:top w:val="single" w:color="C00000" w:sz="2"/>
              <w:left w:val="single" w:color="C00000" w:sz="2"/>
              <w:bottom w:val="single" w:color="C00000" w:sz="2"/>
              <w:right w:val="single" w:color="C00000" w:sz="2"/>
            </w:tcBorders>
          </w:tcPr>
          <w:p>
            <w:r>
              <w:rPr>
                <w:sz w:val="18"/>
                <w:szCs w:val="18"/>
              </w:rPr>
              <w:t xml:space="preserve">Price criteria must not receive 'Non-Compliant' rating</w:t>
            </w:r>
          </w:p>
        </w:tc>
        <w:tc>
          <w:tcPr>
            <w:tcW w:type="dxa" w:w="1800"/>
            <w:tcBorders>
              <w:top w:val="single" w:color="C00000" w:sz="2"/>
              <w:left w:val="single" w:color="C00000" w:sz="2"/>
              <w:bottom w:val="single" w:color="C00000" w:sz="2"/>
              <w:right w:val="single" w:color="C00000" w:sz="2"/>
            </w:tcBorders>
          </w:tcPr>
          <w:p>
            <w:r>
              <w:rPr>
                <w:sz w:val="18"/>
                <w:szCs w:val="18"/>
              </w:rPr>
              <w:t xml:space="preserve">All price criteria</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Non-compliant rating on ANY price criteria = ineligible for award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Page limit: 1 pages</w:t>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Executive Summary: 6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Management Approach (SF1): 7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Infrastructure Approach (SF2): 8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Management Approach (SF1): 10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PAGE_LIMIT</w:t>
            </w:r>
          </w:p>
        </w:tc>
        <w:tc>
          <w:tcPr>
            <w:tcW w:type="dxa" w:w="3500"/>
            <w:tcBorders>
              <w:top w:val="single" w:color="C00000" w:sz="2"/>
              <w:left w:val="single" w:color="C00000" w:sz="2"/>
              <w:bottom w:val="single" w:color="C00000" w:sz="2"/>
              <w:right w:val="single" w:color="C00000" w:sz="2"/>
            </w:tcBorders>
          </w:tcPr>
          <w:p>
            <w:r>
              <w:rPr>
                <w:sz w:val="18"/>
                <w:szCs w:val="18"/>
              </w:rPr>
              <w:t xml:space="preserve">Infrastructure Approach (SF2): 10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FONT_SIZE</w:t>
            </w:r>
          </w:p>
        </w:tc>
        <w:tc>
          <w:tcPr>
            <w:tcW w:type="dxa" w:w="3500"/>
            <w:tcBorders>
              <w:top w:val="single" w:color="C00000" w:sz="2"/>
              <w:left w:val="single" w:color="C00000" w:sz="2"/>
              <w:bottom w:val="single" w:color="C00000" w:sz="2"/>
              <w:right w:val="single" w:color="C00000" w:sz="2"/>
            </w:tcBorders>
          </w:tcPr>
          <w:p>
            <w:r>
              <w:rPr>
                <w:sz w:val="18"/>
                <w:szCs w:val="18"/>
              </w:rPr>
              <w:t xml:space="preserve">Font size: no smaller than 12-point</w:t>
            </w:r>
          </w:p>
        </w:tc>
        <w:tc>
          <w:tcPr>
            <w:tcW w:type="dxa" w:w="1800"/>
            <w:tcBorders>
              <w:top w:val="single" w:color="C00000" w:sz="2"/>
              <w:left w:val="single" w:color="C00000" w:sz="2"/>
              <w:bottom w:val="single" w:color="C00000" w:sz="2"/>
              <w:right w:val="single" w:color="C00000" w:sz="2"/>
            </w:tcBorders>
          </w:tcPr>
          <w:p>
            <w:r>
              <w:rPr>
                <w:sz w:val="18"/>
                <w:szCs w:val="18"/>
              </w:rPr>
              <w:t xml:space="preserve">Graphics/Tables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FONT_SIZE</w:t>
            </w:r>
          </w:p>
        </w:tc>
        <w:tc>
          <w:tcPr>
            <w:tcW w:type="dxa" w:w="3500"/>
            <w:tcBorders>
              <w:top w:val="single" w:color="C00000" w:sz="2"/>
              <w:left w:val="single" w:color="C00000" w:sz="2"/>
              <w:bottom w:val="single" w:color="C00000" w:sz="2"/>
              <w:right w:val="single" w:color="C00000" w:sz="2"/>
            </w:tcBorders>
          </w:tcPr>
          <w:p>
            <w:r>
              <w:rPr>
                <w:sz w:val="18"/>
                <w:szCs w:val="18"/>
              </w:rPr>
              <w:t xml:space="preserve">Font size: no smaller than 10-point</w:t>
            </w:r>
          </w:p>
        </w:tc>
        <w:tc>
          <w:tcPr>
            <w:tcW w:type="dxa" w:w="1800"/>
            <w:tcBorders>
              <w:top w:val="single" w:color="C00000" w:sz="2"/>
              <w:left w:val="single" w:color="C00000" w:sz="2"/>
              <w:bottom w:val="single" w:color="C00000" w:sz="2"/>
              <w:right w:val="single" w:color="C00000" w:sz="2"/>
            </w:tcBorders>
          </w:tcPr>
          <w:p>
            <w:r>
              <w:rPr>
                <w:sz w:val="18"/>
                <w:szCs w:val="18"/>
              </w:rPr>
              <w:t xml:space="preserve">Graphics/Tables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FONT_FAMILY</w:t>
            </w:r>
          </w:p>
        </w:tc>
        <w:tc>
          <w:tcPr>
            <w:tcW w:type="dxa" w:w="3500"/>
            <w:tcBorders>
              <w:top w:val="single" w:color="C00000" w:sz="2"/>
              <w:left w:val="single" w:color="C00000" w:sz="2"/>
              <w:bottom w:val="single" w:color="C00000" w:sz="2"/>
              <w:right w:val="single" w:color="C00000" w:sz="2"/>
            </w:tcBorders>
          </w:tcPr>
          <w:p>
            <w:r>
              <w:rPr>
                <w:sz w:val="18"/>
                <w:szCs w:val="18"/>
              </w:rPr>
              <w:t xml:space="preserve">Font family: Times 
New Roman</w:t>
            </w:r>
          </w:p>
        </w:tc>
        <w:tc>
          <w:tcPr>
            <w:tcW w:type="dxa" w:w="1800"/>
            <w:tcBorders>
              <w:top w:val="single" w:color="C00000" w:sz="2"/>
              <w:left w:val="single" w:color="C00000" w:sz="2"/>
              <w:bottom w:val="single" w:color="C00000" w:sz="2"/>
              <w:right w:val="single" w:color="C00000" w:sz="2"/>
            </w:tcBorders>
          </w:tcPr>
          <w:p>
            <w:r>
              <w:rPr>
                <w:sz w:val="18"/>
                <w:szCs w:val="18"/>
              </w:rPr>
              <w:t xml:space="preserve">All text</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FONT_FAMILY</w:t>
            </w:r>
          </w:p>
        </w:tc>
        <w:tc>
          <w:tcPr>
            <w:tcW w:type="dxa" w:w="3500"/>
            <w:tcBorders>
              <w:top w:val="single" w:color="C00000" w:sz="2"/>
              <w:left w:val="single" w:color="C00000" w:sz="2"/>
              <w:bottom w:val="single" w:color="C00000" w:sz="2"/>
              <w:right w:val="single" w:color="C00000" w:sz="2"/>
            </w:tcBorders>
          </w:tcPr>
          <w:p>
            <w:r>
              <w:rPr>
                <w:sz w:val="18"/>
                <w:szCs w:val="18"/>
              </w:rPr>
              <w:t xml:space="preserve">Font family: Times New Roman</w:t>
            </w:r>
          </w:p>
        </w:tc>
        <w:tc>
          <w:tcPr>
            <w:tcW w:type="dxa" w:w="1800"/>
            <w:tcBorders>
              <w:top w:val="single" w:color="C00000" w:sz="2"/>
              <w:left w:val="single" w:color="C00000" w:sz="2"/>
              <w:bottom w:val="single" w:color="C00000" w:sz="2"/>
              <w:right w:val="single" w:color="C00000" w:sz="2"/>
            </w:tcBorders>
          </w:tcPr>
          <w:p>
            <w:r>
              <w:rPr>
                <w:sz w:val="18"/>
                <w:szCs w:val="18"/>
              </w:rPr>
              <w:t xml:space="preserve">All text</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MARGIN</w:t>
            </w:r>
          </w:p>
        </w:tc>
        <w:tc>
          <w:tcPr>
            <w:tcW w:type="dxa" w:w="3500"/>
            <w:tcBorders>
              <w:top w:val="single" w:color="C00000" w:sz="2"/>
              <w:left w:val="single" w:color="C00000" w:sz="2"/>
              <w:bottom w:val="single" w:color="C00000" w:sz="2"/>
              <w:right w:val="single" w:color="C00000" w:sz="2"/>
            </w:tcBorders>
          </w:tcPr>
          <w:p>
            <w:r>
              <w:rPr>
                <w:sz w:val="18"/>
                <w:szCs w:val="18"/>
              </w:rPr>
              <w:t xml:space="preserve">Margins: 1-inch margins all around</w:t>
            </w:r>
          </w:p>
        </w:tc>
        <w:tc>
          <w:tcPr>
            <w:tcW w:type="dxa" w:w="1800"/>
            <w:tcBorders>
              <w:top w:val="single" w:color="C00000" w:sz="2"/>
              <w:left w:val="single" w:color="C00000" w:sz="2"/>
              <w:bottom w:val="single" w:color="C00000" w:sz="2"/>
              <w:right w:val="single" w:color="C00000" w:sz="2"/>
            </w:tcBorders>
          </w:tcPr>
          <w:p>
            <w:r>
              <w:rPr>
                <w:sz w:val="18"/>
                <w:szCs w:val="18"/>
              </w:rPr>
              <w:t xml:space="preserve">Cost worksheets (11x17)</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FILE_FORMAT</w:t>
            </w:r>
          </w:p>
        </w:tc>
        <w:tc>
          <w:tcPr>
            <w:tcW w:type="dxa" w:w="3500"/>
            <w:tcBorders>
              <w:top w:val="single" w:color="C00000" w:sz="2"/>
              <w:left w:val="single" w:color="C00000" w:sz="2"/>
              <w:bottom w:val="single" w:color="C00000" w:sz="2"/>
              <w:right w:val="single" w:color="C00000" w:sz="2"/>
            </w:tcBorders>
          </w:tcPr>
          <w:p>
            <w:r>
              <w:rPr>
                <w:sz w:val="18"/>
                <w:szCs w:val="18"/>
              </w:rPr>
              <w:t xml:space="preserve">File format: Microsoft Excel</w:t>
            </w:r>
          </w:p>
        </w:tc>
        <w:tc>
          <w:tcPr>
            <w:tcW w:type="dxa" w:w="1800"/>
            <w:tcBorders>
              <w:top w:val="single" w:color="C00000" w:sz="2"/>
              <w:left w:val="single" w:color="C00000" w:sz="2"/>
              <w:bottom w:val="single" w:color="C00000" w:sz="2"/>
              <w:right w:val="single" w:color="C00000" w:sz="2"/>
            </w:tcBorders>
          </w:tcPr>
          <w:p>
            <w:r>
              <w:rPr>
                <w:sz w:val="18"/>
                <w:szCs w:val="18"/>
              </w:rPr>
              <w:t xml:space="preserve">Electronic submission</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Files must be accessible in specified format</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FILE_FORMAT</w:t>
            </w:r>
          </w:p>
        </w:tc>
        <w:tc>
          <w:tcPr>
            <w:tcW w:type="dxa" w:w="3500"/>
            <w:tcBorders>
              <w:top w:val="single" w:color="C00000" w:sz="2"/>
              <w:left w:val="single" w:color="C00000" w:sz="2"/>
              <w:bottom w:val="single" w:color="C00000" w:sz="2"/>
              <w:right w:val="single" w:color="C00000" w:sz="2"/>
            </w:tcBorders>
          </w:tcPr>
          <w:p>
            <w:r>
              <w:rPr>
                <w:sz w:val="18"/>
                <w:szCs w:val="18"/>
              </w:rPr>
              <w:t xml:space="preserve">File format: Adobe Acrobat PDF</w:t>
            </w:r>
          </w:p>
        </w:tc>
        <w:tc>
          <w:tcPr>
            <w:tcW w:type="dxa" w:w="1800"/>
            <w:tcBorders>
              <w:top w:val="single" w:color="C00000" w:sz="2"/>
              <w:left w:val="single" w:color="C00000" w:sz="2"/>
              <w:bottom w:val="single" w:color="C00000" w:sz="2"/>
              <w:right w:val="single" w:color="C00000" w:sz="2"/>
            </w:tcBorders>
          </w:tcPr>
          <w:p>
            <w:r>
              <w:rPr>
                <w:sz w:val="18"/>
                <w:szCs w:val="18"/>
              </w:rPr>
              <w:t xml:space="preserve">Electronic submission</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Files must be accessible in specified format</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SUBMISSION_METHOD</w:t>
            </w:r>
          </w:p>
        </w:tc>
        <w:tc>
          <w:tcPr>
            <w:tcW w:type="dxa" w:w="3500"/>
            <w:tcBorders>
              <w:top w:val="single" w:color="C00000" w:sz="2"/>
              <w:left w:val="single" w:color="C00000" w:sz="2"/>
              <w:bottom w:val="single" w:color="C00000" w:sz="2"/>
              <w:right w:val="single" w:color="C00000" w:sz="2"/>
            </w:tcBorders>
          </w:tcPr>
          <w:p>
            <w:r>
              <w:rPr>
                <w:sz w:val="18"/>
                <w:szCs w:val="18"/>
              </w:rPr>
              <w:t xml:space="preserve">Electronic submission only via secure file transfer (eBuy/GSA)</w:t>
            </w:r>
          </w:p>
        </w:tc>
        <w:tc>
          <w:tcPr>
            <w:tcW w:type="dxa" w:w="1800"/>
            <w:tcBorders>
              <w:top w:val="single" w:color="C00000" w:sz="2"/>
              <w:left w:val="single" w:color="C00000" w:sz="2"/>
              <w:bottom w:val="single" w:color="C00000" w:sz="2"/>
              <w:right w:val="single" w:color="C00000" w:sz="2"/>
            </w:tcBorders>
          </w:tcPr>
          <w:p>
            <w:r>
              <w:rPr>
                <w:sz w:val="18"/>
                <w:szCs w:val="18"/>
              </w:rPr>
              <w:t xml:space="preserve">All volumes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Email and physical submissions are NOT acceptable</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DEADLINE</w:t>
            </w:r>
          </w:p>
        </w:tc>
        <w:tc>
          <w:tcPr>
            <w:tcW w:type="dxa" w:w="3500"/>
            <w:tcBorders>
              <w:top w:val="single" w:color="C00000" w:sz="2"/>
              <w:left w:val="single" w:color="C00000" w:sz="2"/>
              <w:bottom w:val="single" w:color="C00000" w:sz="2"/>
              <w:right w:val="single" w:color="C00000" w:sz="2"/>
            </w:tcBorders>
          </w:tcPr>
          <w:p>
            <w:r>
              <w:rPr>
                <w:sz w:val="18"/>
                <w:szCs w:val="18"/>
              </w:rPr>
              <w:t xml:space="preserve">Proposals must be received by deadline</w:t>
            </w:r>
          </w:p>
        </w:tc>
        <w:tc>
          <w:tcPr>
            <w:tcW w:type="dxa" w:w="1800"/>
            <w:tcBorders>
              <w:top w:val="single" w:color="C00000" w:sz="2"/>
              <w:left w:val="single" w:color="C00000" w:sz="2"/>
              <w:bottom w:val="single" w:color="C00000" w:sz="2"/>
              <w:right w:val="single" w:color="C00000" w:sz="2"/>
            </w:tcBorders>
          </w:tcPr>
          <w:p>
            <w:r>
              <w:rPr>
                <w:sz w:val="18"/>
                <w:szCs w:val="18"/>
              </w:rPr>
              <w:t xml:space="preserve">All volumes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Late proposals may make Offeror ineligible for award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RATING_THRESHOLD</w:t>
            </w:r>
          </w:p>
        </w:tc>
        <w:tc>
          <w:tcPr>
            <w:tcW w:type="dxa" w:w="3500"/>
            <w:tcBorders>
              <w:top w:val="single" w:color="C00000" w:sz="2"/>
              <w:left w:val="single" w:color="C00000" w:sz="2"/>
              <w:bottom w:val="single" w:color="C00000" w:sz="2"/>
              <w:right w:val="single" w:color="C00000" w:sz="2"/>
            </w:tcBorders>
          </w:tcPr>
          <w:p>
            <w:r>
              <w:rPr>
                <w:sz w:val="18"/>
                <w:szCs w:val="18"/>
              </w:rPr>
              <w:t xml:space="preserve">Technical subfactors must not receive 'Unacceptable' rating</w:t>
            </w:r>
          </w:p>
        </w:tc>
        <w:tc>
          <w:tcPr>
            <w:tcW w:type="dxa" w:w="1800"/>
            <w:tcBorders>
              <w:top w:val="single" w:color="C00000" w:sz="2"/>
              <w:left w:val="single" w:color="C00000" w:sz="2"/>
              <w:bottom w:val="single" w:color="C00000" w:sz="2"/>
              <w:right w:val="single" w:color="C00000" w:sz="2"/>
            </w:tcBorders>
          </w:tcPr>
          <w:p>
            <w:r>
              <w:rPr>
                <w:sz w:val="18"/>
                <w:szCs w:val="18"/>
              </w:rPr>
              <w:t xml:space="preserve">All technical subfactors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Unacceptable rating on ANY technical subfactor = ineligible for award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RATING_THRESHOLD</w:t>
            </w:r>
          </w:p>
        </w:tc>
        <w:tc>
          <w:tcPr>
            <w:tcW w:type="dxa" w:w="3500"/>
            <w:tcBorders>
              <w:top w:val="single" w:color="C00000" w:sz="2"/>
              <w:left w:val="single" w:color="C00000" w:sz="2"/>
              <w:bottom w:val="single" w:color="C00000" w:sz="2"/>
              <w:right w:val="single" w:color="C00000" w:sz="2"/>
            </w:tcBorders>
          </w:tcPr>
          <w:p>
            <w:r>
              <w:rPr>
                <w:sz w:val="18"/>
                <w:szCs w:val="18"/>
              </w:rPr>
              <w:t xml:space="preserve">Price criteria must not receive 'Non-Compliant' rating</w:t>
            </w:r>
          </w:p>
        </w:tc>
        <w:tc>
          <w:tcPr>
            <w:tcW w:type="dxa" w:w="1800"/>
            <w:tcBorders>
              <w:top w:val="single" w:color="C00000" w:sz="2"/>
              <w:left w:val="single" w:color="C00000" w:sz="2"/>
              <w:bottom w:val="single" w:color="C00000" w:sz="2"/>
              <w:right w:val="single" w:color="C00000" w:sz="2"/>
            </w:tcBorders>
          </w:tcPr>
          <w:p>
            <w:r>
              <w:rPr>
                <w:sz w:val="18"/>
                <w:szCs w:val="18"/>
              </w:rPr>
              <w:t xml:space="preserve">All price criteria</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Non-compliant rating on ANY price criteria = ineligible for award</w:t>
            </w:r>
          </w:p>
        </w:tc>
      </w:tr>
    </w:tbl>
    <w:p>
      <w:pPr>
        <w:spacing w:after="200"/>
      </w:pPr>
    </w:p>
    <w:p>
      <w:r>
        <w:br w:type="page"/>
      </w:r>
    </w:p>
    <w:p>
      <w:pPr>
        <w:pStyle w:val="Heading2"/>
      </w:pPr>
      <w:r>
        <w:t xml:space="preserve">Annotation Color Code Legend</w:t>
      </w:r>
    </w:p>
    <w:p>
      <w:pPr>
        <w:spacing w:after="120"/>
      </w:pPr>
      <w:r>
        <w:rPr>
          <w:sz w:val="20"/>
          <w:szCs w:val="20"/>
        </w:rPr>
        <w:t xml:space="preserve">Requirements are color-coded by source to help writers understand what the customer is asking for (Section C), how to submit it (Section L), and how it will be scored (Section 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D5D5D5" w:val="clear"/>
          </w:tcPr>
          <w:p>
            <w:r>
              <w:rPr>
                <w:b/>
                <w:bCs/>
                <w:sz w:val="20"/>
                <w:szCs w:val="20"/>
              </w:rPr>
              <w:t xml:space="preserve">Color</w:t>
            </w:r>
          </w:p>
        </w:tc>
        <w:tc>
          <w:tcPr>
            <w:tcW w:type="dxa" w:w="3000"/>
            <w:tcBorders>
              <w:top w:val="single" w:color="CCCCCC" w:sz="1"/>
              <w:left w:val="single" w:color="CCCCCC" w:sz="1"/>
              <w:bottom w:val="single" w:color="CCCCCC" w:sz="1"/>
              <w:right w:val="single" w:color="CCCCCC" w:sz="1"/>
            </w:tcBorders>
            <w:shd w:fill="D5D5D5" w:val="clear"/>
          </w:tcPr>
          <w:p>
            <w:r>
              <w:rPr>
                <w:b/>
                <w:bCs/>
                <w:sz w:val="20"/>
                <w:szCs w:val="20"/>
              </w:rPr>
              <w:t xml:space="preserve">Source</w:t>
            </w:r>
          </w:p>
        </w:tc>
        <w:tc>
          <w:tcPr>
            <w:tcW w:type="dxa" w:w="4560"/>
            <w:tcBorders>
              <w:top w:val="single" w:color="CCCCCC" w:sz="1"/>
              <w:left w:val="single" w:color="CCCCCC" w:sz="1"/>
              <w:bottom w:val="single" w:color="CCCCCC" w:sz="1"/>
              <w:right w:val="single" w:color="CCCCCC" w:sz="1"/>
            </w:tcBorders>
            <w:shd w:fill="D5D5D5" w:val="clear"/>
          </w:tcPr>
          <w:p>
            <w:r>
              <w:rPr>
                <w:b/>
                <w:bCs/>
                <w:sz w:val="20"/>
                <w:szCs w:val="20"/>
              </w:rPr>
              <w:t xml:space="preserve">Purpose</w:t>
            </w:r>
          </w:p>
        </w:tc>
      </w:tr>
      <w:tr>
        <w:tc>
          <w:tcPr>
            <w:tcW w:type="dxa" w:w="1800"/>
            <w:tcBorders>
              <w:top w:val="single" w:color="CCCCCC" w:sz="1"/>
              <w:left w:val="single" w:color="CCCCCC" w:sz="1"/>
              <w:bottom w:val="single" w:color="CCCCCC" w:sz="1"/>
              <w:right w:val="single" w:color="CCCCCC" w:sz="1"/>
            </w:tcBorders>
          </w:tcPr>
          <w:p>
            <w:r>
              <w:rPr>
                <w:b/>
                <w:bCs/>
                <w:color w:val="C00000"/>
                <w:sz w:val="20"/>
                <w:szCs w:val="20"/>
              </w:rPr>
              <w:t xml:space="preserve">RED</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L (Instructions)</w:t>
            </w:r>
          </w:p>
        </w:tc>
        <w:tc>
          <w:tcPr>
            <w:tcW w:type="dxa" w:w="4560"/>
            <w:tcBorders>
              <w:top w:val="single" w:color="CCCCCC" w:sz="1"/>
              <w:left w:val="single" w:color="CCCCCC" w:sz="1"/>
              <w:bottom w:val="single" w:color="CCCCCC" w:sz="1"/>
              <w:right w:val="single" w:color="CCCCCC" w:sz="1"/>
            </w:tcBorders>
          </w:tcPr>
          <w:p>
            <w:r>
              <w:rPr>
                <w:sz w:val="20"/>
                <w:szCs w:val="20"/>
              </w:rPr>
              <w:t xml:space="preserve">How to submit - format, content, page limits</w:t>
            </w:r>
          </w:p>
        </w:tc>
      </w:tr>
      <w:tr>
        <w:tc>
          <w:tcPr>
            <w:tcW w:type="dxa" w:w="1800"/>
            <w:tcBorders>
              <w:top w:val="single" w:color="CCCCCC" w:sz="1"/>
              <w:left w:val="single" w:color="CCCCCC" w:sz="1"/>
              <w:bottom w:val="single" w:color="CCCCCC" w:sz="1"/>
              <w:right w:val="single" w:color="CCCCCC" w:sz="1"/>
            </w:tcBorders>
          </w:tcPr>
          <w:p>
            <w:r>
              <w:rPr>
                <w:b/>
                <w:bCs/>
                <w:color w:val="0070C0"/>
                <w:sz w:val="20"/>
                <w:szCs w:val="20"/>
              </w:rPr>
              <w:t xml:space="preserve">BLUE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M (Evaluation)</w:t>
            </w:r>
          </w:p>
        </w:tc>
        <w:tc>
          <w:tcPr>
            <w:tcW w:type="dxa" w:w="4560"/>
            <w:tcBorders>
              <w:top w:val="single" w:color="CCCCCC" w:sz="1"/>
              <w:left w:val="single" w:color="CCCCCC" w:sz="1"/>
              <w:bottom w:val="single" w:color="CCCCCC" w:sz="1"/>
              <w:right w:val="single" w:color="CCCCCC" w:sz="1"/>
            </w:tcBorders>
          </w:tcPr>
          <w:p>
            <w:r>
              <w:rPr>
                <w:sz w:val="20"/>
                <w:szCs w:val="20"/>
              </w:rPr>
              <w:t xml:space="preserve">How proposal will be scored - criteria, weights</w:t>
            </w:r>
          </w:p>
        </w:tc>
      </w:tr>
      <w:tr>
        <w:tc>
          <w:tcPr>
            <w:tcW w:type="dxa" w:w="1800"/>
            <w:tcBorders>
              <w:top w:val="single" w:color="CCCCCC" w:sz="1"/>
              <w:left w:val="single" w:color="CCCCCC" w:sz="1"/>
              <w:bottom w:val="single" w:color="CCCCCC" w:sz="1"/>
              <w:right w:val="single" w:color="CCCCCC" w:sz="1"/>
            </w:tcBorders>
          </w:tcPr>
          <w:p>
            <w:r>
              <w:rPr>
                <w:b/>
                <w:bCs/>
                <w:color w:val="7030A0"/>
                <w:sz w:val="20"/>
                <w:szCs w:val="20"/>
              </w:rPr>
              <w:t xml:space="preserve">PURPLE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C/PWS/SOW</w:t>
            </w:r>
          </w:p>
        </w:tc>
        <w:tc>
          <w:tcPr>
            <w:tcW w:type="dxa" w:w="4560"/>
            <w:tcBorders>
              <w:top w:val="single" w:color="CCCCCC" w:sz="1"/>
              <w:left w:val="single" w:color="CCCCCC" w:sz="1"/>
              <w:bottom w:val="single" w:color="CCCCCC" w:sz="1"/>
              <w:right w:val="single" w:color="CCCCCC" w:sz="1"/>
            </w:tcBorders>
          </w:tcPr>
          <w:p>
            <w:r>
              <w:rPr>
                <w:sz w:val="20"/>
                <w:szCs w:val="20"/>
              </w:rPr>
              <w:t xml:space="preserve">What to do - technical requirements, scope</w:t>
            </w:r>
          </w:p>
        </w:tc>
      </w:tr>
      <w:tr>
        <w:tc>
          <w:tcPr>
            <w:tcW w:type="dxa" w:w="1800"/>
            <w:tcBorders>
              <w:top w:val="single" w:color="CCCCCC" w:sz="1"/>
              <w:left w:val="single" w:color="CCCCCC" w:sz="1"/>
              <w:bottom w:val="single" w:color="CCCCCC" w:sz="1"/>
              <w:right w:val="single" w:color="CCCCCC" w:sz="1"/>
            </w:tcBorders>
          </w:tcPr>
          <w:p>
            <w:r>
              <w:rPr>
                <w:b/>
                <w:bCs/>
                <w:color w:val="00B050"/>
                <w:sz w:val="20"/>
                <w:szCs w:val="20"/>
              </w:rPr>
              <w:t xml:space="preserve">GREEN</w:t>
            </w:r>
          </w:p>
        </w:tc>
        <w:tc>
          <w:tcPr>
            <w:tcW w:type="dxa" w:w="3000"/>
            <w:tcBorders>
              <w:top w:val="single" w:color="CCCCCC" w:sz="1"/>
              <w:left w:val="single" w:color="CCCCCC" w:sz="1"/>
              <w:bottom w:val="single" w:color="CCCCCC" w:sz="1"/>
              <w:right w:val="single" w:color="CCCCCC" w:sz="1"/>
            </w:tcBorders>
          </w:tcPr>
          <w:p>
            <w:r>
              <w:rPr>
                <w:sz w:val="20"/>
                <w:szCs w:val="20"/>
              </w:rPr>
              <w:t xml:space="preserve">Win Themes</w:t>
            </w:r>
          </w:p>
        </w:tc>
        <w:tc>
          <w:tcPr>
            <w:tcW w:type="dxa" w:w="4560"/>
            <w:tcBorders>
              <w:top w:val="single" w:color="CCCCCC" w:sz="1"/>
              <w:left w:val="single" w:color="CCCCCC" w:sz="1"/>
              <w:bottom w:val="single" w:color="CCCCCC" w:sz="1"/>
              <w:right w:val="single" w:color="CCCCCC" w:sz="1"/>
            </w:tcBorders>
          </w:tcPr>
          <w:p>
            <w:r>
              <w:rPr>
                <w:sz w:val="20"/>
                <w:szCs w:val="20"/>
              </w:rPr>
              <w:t xml:space="preserve">Discriminators and key messages to emphasize</w:t>
            </w:r>
          </w:p>
        </w:tc>
      </w:tr>
      <w:tr>
        <w:tc>
          <w:tcPr>
            <w:tcW w:type="dxa" w:w="1800"/>
            <w:tcBorders>
              <w:top w:val="single" w:color="CCCCCC" w:sz="1"/>
              <w:left w:val="single" w:color="CCCCCC" w:sz="1"/>
              <w:bottom w:val="single" w:color="CCCCCC" w:sz="1"/>
              <w:right w:val="single" w:color="CCCCCC" w:sz="1"/>
            </w:tcBorders>
          </w:tcPr>
          <w:p>
            <w:r>
              <w:rPr>
                <w:b/>
                <w:bCs/>
                <w:color w:val="ED7D31"/>
                <w:sz w:val="20"/>
                <w:szCs w:val="20"/>
              </w:rPr>
              <w:t xml:space="preserve">ORANGE</w:t>
            </w:r>
          </w:p>
        </w:tc>
        <w:tc>
          <w:tcPr>
            <w:tcW w:type="dxa" w:w="3000"/>
            <w:tcBorders>
              <w:top w:val="single" w:color="CCCCCC" w:sz="1"/>
              <w:left w:val="single" w:color="CCCCCC" w:sz="1"/>
              <w:bottom w:val="single" w:color="CCCCCC" w:sz="1"/>
              <w:right w:val="single" w:color="CCCCCC" w:sz="1"/>
            </w:tcBorders>
          </w:tcPr>
          <w:p>
            <w:r>
              <w:rPr>
                <w:sz w:val="20"/>
                <w:szCs w:val="20"/>
              </w:rPr>
              <w:t xml:space="preserve">Proof Points</w:t>
            </w:r>
          </w:p>
        </w:tc>
        <w:tc>
          <w:tcPr>
            <w:tcW w:type="dxa" w:w="4560"/>
            <w:tcBorders>
              <w:top w:val="single" w:color="CCCCCC" w:sz="1"/>
              <w:left w:val="single" w:color="CCCCCC" w:sz="1"/>
              <w:bottom w:val="single" w:color="CCCCCC" w:sz="1"/>
              <w:right w:val="single" w:color="CCCCCC" w:sz="1"/>
            </w:tcBorders>
          </w:tcPr>
          <w:p>
            <w:r>
              <w:rPr>
                <w:sz w:val="20"/>
                <w:szCs w:val="20"/>
              </w:rPr>
              <w:t xml:space="preserve">Evidence needed - past performance, metrics, certs</w:t>
            </w:r>
          </w:p>
        </w:tc>
      </w:tr>
      <w:tr>
        <w:tc>
          <w:tcPr>
            <w:tcW w:type="dxa" w:w="1800"/>
            <w:tcBorders>
              <w:top w:val="single" w:color="CCCCCC" w:sz="1"/>
              <w:left w:val="single" w:color="CCCCCC" w:sz="1"/>
              <w:bottom w:val="single" w:color="CCCCCC" w:sz="1"/>
              <w:right w:val="single" w:color="CCCCCC" w:sz="1"/>
            </w:tcBorders>
          </w:tcPr>
          <w:p>
            <w:r>
              <w:rPr>
                <w:b/>
                <w:bCs/>
                <w:color w:val="5B9BD5"/>
                <w:sz w:val="20"/>
                <w:szCs w:val="20"/>
              </w:rPr>
              <w:t xml:space="preserve">BLUE-GRAY</w:t>
            </w:r>
          </w:p>
        </w:tc>
        <w:tc>
          <w:tcPr>
            <w:tcW w:type="dxa" w:w="3000"/>
            <w:tcBorders>
              <w:top w:val="single" w:color="CCCCCC" w:sz="1"/>
              <w:left w:val="single" w:color="CCCCCC" w:sz="1"/>
              <w:bottom w:val="single" w:color="CCCCCC" w:sz="1"/>
              <w:right w:val="single" w:color="CCCCCC" w:sz="1"/>
            </w:tcBorders>
          </w:tcPr>
          <w:p>
            <w:r>
              <w:rPr>
                <w:sz w:val="20"/>
                <w:szCs w:val="20"/>
              </w:rPr>
              <w:t xml:space="preserve">Graphics</w:t>
            </w:r>
          </w:p>
        </w:tc>
        <w:tc>
          <w:tcPr>
            <w:tcW w:type="dxa" w:w="4560"/>
            <w:tcBorders>
              <w:top w:val="single" w:color="CCCCCC" w:sz="1"/>
              <w:left w:val="single" w:color="CCCCCC" w:sz="1"/>
              <w:bottom w:val="single" w:color="CCCCCC" w:sz="1"/>
              <w:right w:val="single" w:color="CCCCCC" w:sz="1"/>
            </w:tcBorders>
          </w:tcPr>
          <w:p>
            <w:r>
              <w:rPr>
                <w:sz w:val="20"/>
                <w:szCs w:val="20"/>
              </w:rPr>
              <w:t xml:space="preserve">Planned visuals with action captions</w:t>
            </w:r>
          </w:p>
        </w:tc>
      </w:tr>
    </w:tbl>
    <w:p>
      <w:pPr>
        <w:spacing w:after="300"/>
      </w:pPr>
    </w:p>
    <w:p>
      <w:pPr>
        <w:pStyle w:val="Heading1"/>
      </w:pPr>
      <w:r>
        <w:t xml:space="preserve">EVALUATION FACTORS SUMMARY</w:t>
      </w:r>
    </w:p>
    <w:p>
      <w:pPr>
        <w:spacing w:after="200"/>
      </w:pPr>
      <w:r>
        <w:rPr>
          <w:color w:val="0070C0"/>
          <w:sz w:val="20"/>
          <w:szCs w:val="20"/>
        </w:rPr>
        <w:t xml:space="preserve">Understanding how the proposal will be scored is critical. Structure content to directly address each evaluation factor.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Factor</w:t>
            </w:r>
          </w:p>
        </w:tc>
        <w:tc>
          <w:tcPr>
            <w:tcW w:type="dxa" w:w="15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Weight</w:t>
            </w:r>
          </w:p>
        </w:tc>
        <w:tc>
          <w:tcPr>
            <w:tcW w:type="dxa" w:w="506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Key Criteria</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1: Experience</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2: Program and Project Management</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bl>
    <w:p>
      <w:pPr>
        <w:pStyle w:val="Heading2"/>
      </w:pPr>
      <w:r>
        <w:t xml:space="preserve">Adjectival Rating Definitions</w:t>
      </w:r>
    </w:p>
    <w:p>
      <w:pPr>
        <w:spacing w:after="120"/>
      </w:pPr>
      <w:r>
        <w:rPr>
          <w:color w:val="0070C0"/>
          <w:sz w:val="20"/>
          <w:szCs w:val="20"/>
        </w:rPr>
        <w:t xml:space="preserve">Understanding the rating scale is essential for targeting Exceptional ratings on key factors.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70C0" w:sz="1"/>
              <w:left w:val="single" w:color="0070C0" w:sz="1"/>
              <w:bottom w:val="single" w:color="0070C0" w:sz="1"/>
              <w:right w:val="single" w:color="0070C0" w:sz="1"/>
            </w:tcBorders>
            <w:shd w:fill="0070C0" w:val="clear"/>
          </w:tcPr>
          <w:p>
            <w:r>
              <w:rPr>
                <w:b/>
                <w:bCs/>
                <w:color w:val="FFFFFF"/>
                <w:sz w:val="20"/>
                <w:szCs w:val="20"/>
              </w:rPr>
              <w:t xml:space="preserve">Rating</w:t>
            </w:r>
          </w:p>
        </w:tc>
        <w:tc>
          <w:tcPr>
            <w:tcW w:type="dxa" w:w="7360"/>
            <w:tcBorders>
              <w:top w:val="single" w:color="0070C0" w:sz="1"/>
              <w:left w:val="single" w:color="0070C0" w:sz="1"/>
              <w:bottom w:val="single" w:color="0070C0" w:sz="1"/>
              <w:right w:val="single" w:color="0070C0" w:sz="1"/>
            </w:tcBorders>
            <w:shd w:fill="0070C0" w:val="clear"/>
          </w:tcPr>
          <w:p>
            <w:r>
              <w:rPr>
                <w:b/>
                <w:bCs/>
                <w:color w:val="FFFFFF"/>
                <w:sz w:val="20"/>
                <w:szCs w:val="20"/>
              </w:rPr>
              <w:t xml:space="preserve">Definition</w:t>
            </w:r>
          </w:p>
        </w:tc>
      </w:tr>
      <w:tr>
        <w:tc>
          <w:tcPr>
            <w:tcW w:type="dxa" w:w="2000"/>
            <w:tcBorders>
              <w:top w:val="single" w:color="0070C0" w:sz="1"/>
              <w:left w:val="single" w:color="0070C0" w:sz="1"/>
              <w:bottom w:val="single" w:color="0070C0" w:sz="1"/>
              <w:right w:val="single" w:color="0070C0" w:sz="1"/>
            </w:tcBorders>
          </w:tcPr>
          <w:p>
            <w:r>
              <w:rPr>
                <w:b/>
                <w:bCs/>
                <w:color w:val="00B050"/>
                <w:sz w:val="20"/>
                <w:szCs w:val="20"/>
              </w:rPr>
              <w:t xml:space="preserve">Exceptional</w:t>
            </w:r>
          </w:p>
        </w:tc>
        <w:tc>
          <w:tcPr>
            <w:tcW w:type="dxa" w:w="7360"/>
            <w:tcBorders>
              <w:top w:val="single" w:color="0070C0" w:sz="1"/>
              <w:left w:val="single" w:color="0070C0" w:sz="1"/>
              <w:bottom w:val="single" w:color="0070C0" w:sz="1"/>
              <w:right w:val="single" w:color="0070C0" w:sz="1"/>
            </w:tcBorders>
          </w:tcPr>
          <w:p>
            <w:r>
              <w:rPr>
                <w:sz w:val="18"/>
                <w:szCs w:val="18"/>
              </w:rPr>
              <w:t xml:space="preserve">– Proposal clearly exceeds minimum requirements, contains multiple strengths and raises government confidence that the Offeror is capable of exceeding expectations.</w:t>
            </w:r>
          </w:p>
        </w:tc>
      </w:tr>
      <w:tr>
        <w:tc>
          <w:tcPr>
            <w:tcW w:type="dxa" w:w="2000"/>
            <w:tcBorders>
              <w:top w:val="single" w:color="0070C0" w:sz="1"/>
              <w:left w:val="single" w:color="0070C0" w:sz="1"/>
              <w:bottom w:val="single" w:color="0070C0" w:sz="1"/>
              <w:right w:val="single" w:color="0070C0" w:sz="1"/>
            </w:tcBorders>
          </w:tcPr>
          <w:p>
            <w:r>
              <w:rPr>
                <w:b/>
                <w:bCs/>
                <w:color w:val="92D050"/>
                <w:sz w:val="20"/>
                <w:szCs w:val="20"/>
              </w:rPr>
              <w:t xml:space="preserve">Very Good</w:t>
            </w:r>
          </w:p>
        </w:tc>
        <w:tc>
          <w:tcPr>
            <w:tcW w:type="dxa" w:w="7360"/>
            <w:tcBorders>
              <w:top w:val="single" w:color="0070C0" w:sz="1"/>
              <w:left w:val="single" w:color="0070C0" w:sz="1"/>
              <w:bottom w:val="single" w:color="0070C0" w:sz="1"/>
              <w:right w:val="single" w:color="0070C0" w:sz="1"/>
            </w:tcBorders>
          </w:tcPr>
          <w:p>
            <w:r>
              <w:rPr>
                <w:sz w:val="18"/>
                <w:szCs w:val="18"/>
              </w:rPr>
              <w:t xml:space="preserve">– Proposal clearly exceeds minimum requirements, contains at least one strength and raises government confidence that the Offeror is capable of exceeding expectations.</w:t>
            </w:r>
          </w:p>
        </w:tc>
      </w:tr>
      <w:tr>
        <w:tc>
          <w:tcPr>
            <w:tcW w:type="dxa" w:w="2000"/>
            <w:tcBorders>
              <w:top w:val="single" w:color="0070C0" w:sz="1"/>
              <w:left w:val="single" w:color="0070C0" w:sz="1"/>
              <w:bottom w:val="single" w:color="0070C0" w:sz="1"/>
              <w:right w:val="single" w:color="0070C0" w:sz="1"/>
            </w:tcBorders>
          </w:tcPr>
          <w:p>
            <w:r>
              <w:rPr>
                <w:b/>
                <w:bCs/>
                <w:color w:val="FFC000"/>
                <w:sz w:val="20"/>
                <w:szCs w:val="20"/>
              </w:rPr>
              <w:t xml:space="preserve">Good</w:t>
            </w:r>
          </w:p>
        </w:tc>
        <w:tc>
          <w:tcPr>
            <w:tcW w:type="dxa" w:w="7360"/>
            <w:tcBorders>
              <w:top w:val="single" w:color="0070C0" w:sz="1"/>
              <w:left w:val="single" w:color="0070C0" w:sz="1"/>
              <w:bottom w:val="single" w:color="0070C0" w:sz="1"/>
              <w:right w:val="single" w:color="0070C0" w:sz="1"/>
            </w:tcBorders>
          </w:tcPr>
          <w:p>
            <w:r>
              <w:rPr>
                <w:sz w:val="18"/>
                <w:szCs w:val="18"/>
              </w:rPr>
              <w:t xml:space="preserve">– Proposal clearly meets the minimum requirements of the solicitation and/or raises government confidence that the Offeror is capable of meeting expectations.</w:t>
            </w:r>
          </w:p>
        </w:tc>
      </w:tr>
      <w:tr>
        <w:tc>
          <w:tcPr>
            <w:tcW w:type="dxa" w:w="2000"/>
            <w:tcBorders>
              <w:top w:val="single" w:color="0070C0" w:sz="1"/>
              <w:left w:val="single" w:color="0070C0" w:sz="1"/>
              <w:bottom w:val="single" w:color="0070C0" w:sz="1"/>
              <w:right w:val="single" w:color="0070C0" w:sz="1"/>
            </w:tcBorders>
          </w:tcPr>
          <w:p>
            <w:r>
              <w:rPr>
                <w:b/>
                <w:bCs/>
                <w:color w:val="C00000"/>
                <w:sz w:val="20"/>
                <w:szCs w:val="20"/>
              </w:rPr>
              <w:t xml:space="preserve">Unacceptable</w:t>
            </w:r>
          </w:p>
        </w:tc>
        <w:tc>
          <w:tcPr>
            <w:tcW w:type="dxa" w:w="7360"/>
            <w:tcBorders>
              <w:top w:val="single" w:color="0070C0" w:sz="1"/>
              <w:left w:val="single" w:color="0070C0" w:sz="1"/>
              <w:bottom w:val="single" w:color="0070C0" w:sz="1"/>
              <w:right w:val="single" w:color="0070C0" w:sz="1"/>
            </w:tcBorders>
          </w:tcPr>
          <w:p>
            <w:r>
              <w:rPr>
                <w:sz w:val="18"/>
                <w:szCs w:val="18"/>
              </w:rPr>
              <w:t xml:space="preserve">– Proposal does not clearly meet the minimum requirements of the solicitation and/or lowers government confidence that the Offeror is capable of meeting expectations.</w:t>
            </w:r>
          </w:p>
        </w:tc>
      </w:tr>
    </w:tbl>
    <w:p>
      <w:pPr>
        <w:spacing w:after="200"/>
      </w:pPr>
    </w:p>
    <w:p>
      <w:r>
        <w:br w:type="page"/>
      </w:r>
    </w:p>
    <w:p>
      <w:pPr>
        <w:pStyle w:val="Heading1"/>
      </w:pPr>
      <w:r>
        <w:t xml:space="preserve">VOLUME 1: TECHNICAL PROPOSAL</w:t>
      </w:r>
    </w:p>
    <w:p>
      <w:pPr>
        <w:spacing w:after="120"/>
      </w:pPr>
      <w:r>
        <w:rPr>
          <w:b/>
          <w:bCs/>
          <w:sz w:val="22"/>
          <w:szCs w:val="22"/>
        </w:rPr>
        <w:t xml:space="preserve">Page Limit: </w:t>
      </w:r>
      <w:r>
        <w:rPr>
          <w:color w:val="C00000"/>
          <w:sz w:val="22"/>
          <w:szCs w:val="22"/>
        </w:rPr>
        <w:t xml:space="preserve">No limit specified</w:t>
      </w:r>
    </w:p>
    <w:p>
      <w:pPr>
        <w:spacing w:after="200"/>
      </w:pPr>
      <w:r>
        <w:rPr>
          <w:b/>
          <w:bCs/>
          <w:color w:val="0070C0"/>
          <w:sz w:val="22"/>
          <w:szCs w:val="22"/>
        </w:rPr>
        <w:t xml:space="preserve">Evaluation Factors: </w:t>
      </w:r>
      <w:r>
        <w:rPr>
          <w:color w:val="0070C0"/>
          <w:sz w:val="22"/>
          <w:szCs w:val="22"/>
        </w:rPr>
        <w:t xml:space="preserve">Factor 2: Program and Project Management</w:t>
      </w:r>
    </w:p>
    <w:p>
      <w:pPr>
        <w:pStyle w:val="Heading2"/>
      </w:pPr>
      <w:r>
        <w:t xml:space="preserve">SEC-F1. Factor 1: Experience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Executive Summary and Technical Volume .................................................................................... 6 
1.1 Executive Summary ......................................................................................................................... 7 
1.2 Sub Factor 1: Management Approach ............................................................................................. 7 
1.3 Sub Factor 2: Infrastructure Approach ....................................................</w:t>
            </w:r>
          </w:p>
          <w:p>
            <w:pPr>
              <w:pStyle w:val="ListParagraph"/>
              <w:numPr>
                <w:ilvl w:val="0"/>
                <w:numId w:val="2"/>
              </w:numPr>
            </w:pPr>
            <w:r>
              <w:rPr>
                <w:i w:val="false"/>
                <w:iCs w:val="false"/>
                <w:color w:val="000000"/>
                <w:sz w:val="20"/>
                <w:szCs w:val="20"/>
              </w:rPr>
              <w:t xml:space="preserve">Cost &amp; Price Volume ........................................................................................................................... 8 
2.1 Criteria 1: Supply Pricing for 24x7 Network Operations Center ........................................................... 9 
2.2 Criteria 2:  Labor Rate Compliance ............................................................................................... 10</w:t>
            </w:r>
          </w:p>
          <w:p>
            <w:pPr>
              <w:pStyle w:val="ListParagraph"/>
              <w:numPr>
                <w:ilvl w:val="0"/>
                <w:numId w:val="2"/>
              </w:numPr>
            </w:pPr>
            <w:r>
              <w:rPr>
                <w:i w:val="false"/>
                <w:iCs w:val="false"/>
                <w:color w:val="000000"/>
                <w:sz w:val="20"/>
                <w:szCs w:val="20"/>
              </w:rPr>
              <w:t xml:space="preserve">Contract Documentation Volume ................................................................................................... 10 
3.1 Evidence of Online Representation and Certifications Application ............................................... 11 
3.2 SF1449 ........................................................................................................................................... 11 
3.3 Draft DD Form 254 .......................................................................</w:t>
            </w:r>
          </w:p>
          <w:p>
            <w:pPr>
              <w:pStyle w:val="ListParagraph"/>
              <w:numPr>
                <w:ilvl w:val="0"/>
                <w:numId w:val="2"/>
              </w:numPr>
            </w:pPr>
            <w:r>
              <w:rPr>
                <w:i w:val="false"/>
                <w:iCs w:val="false"/>
                <w:color w:val="000000"/>
                <w:sz w:val="20"/>
                <w:szCs w:val="20"/>
              </w:rPr>
              <w:t xml:space="preserve">This supply delivery order solicitation complies with Federal Acquisition Regulation Part 
16.505.  This is a competitive solicitation that uses the tradeoff methodology which allows the 
Government to award to other than the lowest priced offeror or other than the highest technically 
rated offeror.  Delivery order award will be made based on the proposal that offers the best value 
to the Government relative to the minimum technical requirements established in these</w:t>
            </w:r>
          </w:p>
          <w:p>
            <w:pPr>
              <w:pStyle w:val="ListParagraph"/>
              <w:numPr>
                <w:ilvl w:val="0"/>
                <w:numId w:val="2"/>
              </w:numPr>
            </w:pPr>
            <w:r>
              <w:rPr>
                <w:i w:val="false"/>
                <w:iCs w:val="false"/>
                <w:color w:val="000000"/>
                <w:sz w:val="20"/>
                <w:szCs w:val="20"/>
              </w:rPr>
              <w:t xml:space="preserve">The technical subfactors are more important than cost/price criteria.  Within the Technical 
Factor, Management Support (SF1) is more important than Infrastructure Approach (SF2).  
Within the Cost/Price Volume, all criteria are evaluated equally.  An “unacceptable” rating for 
any single technical sub factor will make an Offeror ineligible for award.  A “non-compliant” 
rating for any price criteria will make an Offeror ineligible for award.</w:t>
            </w:r>
          </w:p>
          <w:p>
            <w:pPr>
              <w:pStyle w:val="ListParagraph"/>
              <w:numPr>
                <w:ilvl w:val="0"/>
                <w:numId w:val="2"/>
              </w:numPr>
            </w:pPr>
            <w:r>
              <w:rPr>
                <w:i w:val="false"/>
                <w:iCs w:val="false"/>
                <w:color w:val="000000"/>
                <w:sz w:val="20"/>
                <w:szCs w:val="20"/>
              </w:rPr>
              <w:t xml:space="preserve">Technical           Cost/Price   
Evaluation weighting formula:          SF1 &gt; SF2      &gt;&gt;           (Criteria 1 = Criteria 2 = Criteria 3)</w:t>
            </w:r>
          </w:p>
          <w:p>
            <w:pPr>
              <w:pStyle w:val="ListParagraph"/>
              <w:numPr>
                <w:ilvl w:val="0"/>
                <w:numId w:val="2"/>
              </w:numPr>
            </w:pPr>
            <w:r>
              <w:rPr>
                <w:i w:val="false"/>
                <w:iCs w:val="false"/>
                <w:color w:val="000000"/>
                <w:sz w:val="20"/>
                <w:szCs w:val="20"/>
              </w:rPr>
              <w:t xml:space="preserve">Proposal Submittal 
Submission of a proposal constitutes acknowledgement and agreement to the terms and 
conditions of this solicitation, to include instructions in the attachments.  Late proposals may 
make an Offeror ineligible for award.  This solicitation requires the use of a government 
managed secure file transfer system.  Email and physical submissions are not acceptable.  
Offerors should allow adequate time with consideration to resolve technical issues that may</w:t>
            </w:r>
          </w:p>
          <w:p>
            <w:pPr>
              <w:pStyle w:val="ListParagraph"/>
              <w:numPr>
                <w:ilvl w:val="0"/>
                <w:numId w:val="2"/>
              </w:numPr>
            </w:pPr>
            <w:r>
              <w:rPr>
                <w:i w:val="false"/>
                <w:iCs w:val="false"/>
                <w:color w:val="000000"/>
                <w:sz w:val="20"/>
                <w:szCs w:val="20"/>
              </w:rPr>
              <w:t xml:space="preserve">Instructions: Electronic submission only.  Use the secure file transfer system; eBuy or 
other GSA platform as indicated by the PCO.  Proposals must be received no later 
than 1700 Pacific Daylight-Saving Time, 3 February 2024. Additionally, 
subcontractors shall provide their labor categories and rates included in the prime cost 
volume and supply pricing table compliant with Cost Criteria 2 (section 2 of the 
Placement Procedures) directly to the Government Contracting Team via email as a 
tai...</w:t>
            </w:r>
          </w:p>
          <w:p>
            <w:pPr>
              <w:pStyle w:val="ListParagraph"/>
              <w:numPr>
                <w:ilvl w:val="0"/>
                <w:numId w:val="2"/>
              </w:numPr>
            </w:pPr>
            <w:r>
              <w:rPr>
                <w:i w:val="false"/>
                <w:iCs w:val="false"/>
                <w:color w:val="000000"/>
                <w:sz w:val="20"/>
                <w:szCs w:val="20"/>
              </w:rPr>
              <w:t xml:space="preserve">At this time, the Government intends to make award based on the initial proposal submissions 
without conducting interchanges, Therefore, each offer should contain the Offeror’s best terms 
from a price and technical standpoint.</w:t>
            </w:r>
          </w:p>
          <w:p>
            <w:pPr>
              <w:pStyle w:val="ListParagraph"/>
              <w:numPr>
                <w:ilvl w:val="0"/>
                <w:numId w:val="2"/>
              </w:numPr>
            </w:pPr>
            <w:r>
              <w:rPr>
                <w:i w:val="false"/>
                <w:iCs w:val="false"/>
                <w:color w:val="000000"/>
                <w:sz w:val="20"/>
                <w:szCs w:val="20"/>
              </w:rPr>
              <w:t xml:space="preserve">Proposal Format 
Proposals shall be submitted to the Government in separate volumes as set forth below.</w:t>
            </w:r>
          </w:p>
          <w:p>
            <w:pPr>
              <w:pStyle w:val="ListParagraph"/>
              <w:numPr>
                <w:ilvl w:val="0"/>
                <w:numId w:val="2"/>
              </w:numPr>
            </w:pPr>
            <w:r>
              <w:rPr>
                <w:i w:val="false"/>
                <w:iCs w:val="false"/>
                <w:color w:val="000000"/>
                <w:sz w:val="20"/>
                <w:szCs w:val="20"/>
              </w:rPr>
              <w:t xml:space="preserve">Volume Title 
Description 
Page Limit Included in Page 
Count (Y/N/NA)</w:t>
            </w:r>
          </w:p>
          <w:p>
            <w:pPr>
              <w:pStyle w:val="ListParagraph"/>
              <w:numPr>
                <w:ilvl w:val="0"/>
                <w:numId w:val="2"/>
              </w:numPr>
            </w:pPr>
            <w:r>
              <w:rPr>
                <w:i w:val="false"/>
                <w:iCs w:val="false"/>
                <w:color w:val="000000"/>
                <w:sz w:val="20"/>
                <w:szCs w:val="20"/>
              </w:rPr>
              <w:t xml:space="preserve">1 Technical 8 Pages  
 Executive Summary 1 Y 
SF 1 Management Approach 10 Y 
SF 2 Infrastructure Approach 10 Y 
2 Cost &amp; Price None  
Criteria 1 Supply Pricing 24/7 NOC None 
NA 
Criteria 2 Labor Rate Compliance None NA 
Criteria 3 Contract Documentation None  
Table 1</w:t>
            </w:r>
          </w:p>
          <w:p>
            <w:pPr>
              <w:pStyle w:val="ListParagraph"/>
              <w:numPr>
                <w:ilvl w:val="0"/>
                <w:numId w:val="2"/>
              </w:numPr>
            </w:pPr>
            <w:r>
              <w:rPr>
                <w:i w:val="false"/>
                <w:iCs w:val="false"/>
                <w:color w:val="000000"/>
                <w:sz w:val="20"/>
                <w:szCs w:val="20"/>
              </w:rPr>
              <w:t xml:space="preserve">A page is the single side of an 8.5x11-inch paper with one-inch margins all around and shall 
contain sequential page numbers. 
If 11x17 pages are used, they shall be counted as 2 pages, use one-
inch margins all around, and shall include both page numbers.  Use no smaller than 12-point Times 
New Roman font for paragraph body.  Graphics and tables may use no smaller than 10-point 
Times New Roman font.  Each volume shall include a Title Page and Table of Contents.  
Sectionalized page numbering...</w:t>
            </w:r>
          </w:p>
          <w:p>
            <w:pPr>
              <w:pStyle w:val="ListParagraph"/>
              <w:numPr>
                <w:ilvl w:val="0"/>
                <w:numId w:val="2"/>
              </w:numPr>
            </w:pPr>
            <w:r>
              <w:rPr>
                <w:i w:val="false"/>
                <w:iCs w:val="false"/>
                <w:color w:val="000000"/>
                <w:sz w:val="20"/>
                <w:szCs w:val="20"/>
              </w:rPr>
              <w:t xml:space="preserve">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w:t>
            </w:r>
          </w:p>
          <w:p>
            <w:pPr>
              <w:pStyle w:val="ListParagraph"/>
              <w:numPr>
                <w:ilvl w:val="0"/>
                <w:numId w:val="2"/>
              </w:numPr>
            </w:pPr>
            <w:r>
              <w:rPr>
                <w:i w:val="false"/>
                <w:iCs w:val="false"/>
                <w:color w:val="000000"/>
                <w:sz w:val="20"/>
                <w:szCs w:val="20"/>
              </w:rPr>
              <w:t xml:space="preserve">The Government will evaluate proposals based on the technical sub factors identified</w:t>
            </w:r>
          </w:p>
          <w:p>
            <w:pPr>
              <w:pStyle w:val="ListParagraph"/>
              <w:numPr>
                <w:ilvl w:val="0"/>
                <w:numId w:val="2"/>
              </w:numPr>
            </w:pPr>
            <w:r>
              <w:rPr>
                <w:i w:val="false"/>
                <w:iCs w:val="false"/>
                <w:color w:val="000000"/>
                <w:sz w:val="20"/>
                <w:szCs w:val="20"/>
              </w:rPr>
              <w:t xml:space="preserve">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Technical Rating: 
Exceptional – Proposal clearly exceeds minimum requirements, contains multiple strengths and raises 
government confidence that the Offeror is capable of exceeding expectations.</w:t>
            </w:r>
          </w:p>
          <w:p>
            <w:pPr>
              <w:pStyle w:val="ListParagraph"/>
              <w:numPr>
                <w:ilvl w:val="0"/>
                <w:numId w:val="2"/>
              </w:numPr>
            </w:pPr>
            <w:r>
              <w:rPr>
                <w:i w:val="false"/>
                <w:iCs w:val="false"/>
                <w:color w:val="000000"/>
                <w:sz w:val="20"/>
                <w:szCs w:val="20"/>
              </w:rPr>
              <w:t xml:space="preserve">Evaluation: Any summary material presented here shall not be considered as meeting the 
requirements for any portions of other volumes of the proposal.</w:t>
            </w:r>
          </w:p>
          <w:p>
            <w:pPr>
              <w:pStyle w:val="ListParagraph"/>
              <w:numPr>
                <w:ilvl w:val="0"/>
                <w:numId w:val="2"/>
              </w:numPr>
            </w:pPr>
            <w:r>
              <w:rPr>
                <w:i w:val="false"/>
                <w:iCs w:val="false"/>
                <w:color w:val="000000"/>
                <w:sz w:val="20"/>
                <w:szCs w:val="20"/>
              </w:rPr>
              <w:t xml:space="preserve">Evaluation: The proposed technical solution and all documentation will be evaluated for meeting 
the Government’s requirement (subjective).  The Offeror’s proposed organization structure and 
staffing will be evaluated on the capability to effect and achieve the requirements stated in the 
PWS.  The Government may assign strengths for exceeding the staffing requirements or 
identifying opportunities for automation (technical rating / Strength / Risk).</w:t>
            </w:r>
          </w:p>
          <w:p>
            <w:pPr>
              <w:pStyle w:val="ListParagraph"/>
              <w:numPr>
                <w:ilvl w:val="0"/>
                <w:numId w:val="2"/>
              </w:numPr>
            </w:pPr>
            <w:r>
              <w:rPr>
                <w:i w:val="false"/>
                <w:iCs w:val="false"/>
                <w:color w:val="000000"/>
                <w:sz w:val="20"/>
                <w:szCs w:val="20"/>
              </w:rPr>
              <w:t xml:space="preserve">Evaluation: The proposed approach will be evaluated for the degree of confidence the 
Government has in an offeror’s ability to meet the requirements outlined in the PWS, as well as 
the ability to maintain the production systems and legacy equipment with zero drops in service.  
Approach will also be evaluated on the governments confidence that the offeror will be able to 
provide key personnel that meet all requirements identified in the SOW (technical rating / 
Strength / Risk).</w:t>
            </w:r>
          </w:p>
          <w:p>
            <w:pPr>
              <w:pStyle w:val="ListParagraph"/>
              <w:numPr>
                <w:ilvl w:val="0"/>
                <w:numId w:val="2"/>
              </w:numPr>
            </w:pPr>
            <w:r>
              <w:rPr>
                <w:i w:val="false"/>
                <w:iCs w:val="false"/>
                <w:color w:val="000000"/>
                <w:sz w:val="20"/>
                <w:szCs w:val="20"/>
              </w:rPr>
              <w:t xml:space="preserve">Cost &amp; Price Volume 
The Cost/Price volume should be specific and complete. Readability, clarity, and coherence are 
very important.  The offeror’s Cost/Price proposal will be evaluated via a cost analysis, in order 
to determine if the overall price is fair and reasonable.  Using the instructions provided below, 
provide as specifically as possible the actual methodology used to develop the cost/price</w:t>
            </w:r>
          </w:p>
          <w:p>
            <w:pPr>
              <w:pStyle w:val="ListParagraph"/>
              <w:numPr>
                <w:ilvl w:val="0"/>
                <w:numId w:val="2"/>
              </w:numPr>
            </w:pPr>
            <w:r>
              <w:rPr>
                <w:i w:val="false"/>
                <w:iCs w:val="false"/>
                <w:color w:val="000000"/>
                <w:sz w:val="20"/>
                <w:szCs w:val="20"/>
              </w:rPr>
              <w:t xml:space="preserve">The Government will evaluate proposals based on the technical sub factors identified below.  
Offerors shall comply with all sub factor instructions. 
Cost/Price 
Factor 
Criteria 1 Supply Pricing for 24x7 Network Operations 
Center  
Compliant/Non-
Compliant, 
Strength, Risk 
Criteria 2 Labor Rate Compliance Compliant/Non-Compliant</w:t>
            </w:r>
          </w:p>
          <w:p>
            <w:pPr>
              <w:pStyle w:val="ListParagraph"/>
              <w:numPr>
                <w:ilvl w:val="0"/>
                <w:numId w:val="2"/>
              </w:numPr>
            </w:pPr>
            <w:r>
              <w:rPr>
                <w:i w:val="false"/>
                <w:iCs w:val="false"/>
                <w:color w:val="000000"/>
                <w:sz w:val="20"/>
                <w:szCs w:val="20"/>
              </w:rPr>
              <w:t xml:space="preserve">Instruction: The contractor shall develop and deliver cost volume which describes how the 
Cost/Price Factor compliance is met.  The offeror (and sub-contractors if applicable) shall 
complete and submit a Supply Pricing Table for 24/7 NOC (see attachment 4 for template). This 
table shall include tabs for each environment, environment agnostic, travel, cost reimbursable 
elements, labor, and milestone payments.  Within these tabs, the contractor shall allocate 
cost/price to support the needs i...</w:t>
            </w:r>
          </w:p>
          <w:p>
            <w:pPr>
              <w:pStyle w:val="ListParagraph"/>
              <w:numPr>
                <w:ilvl w:val="0"/>
                <w:numId w:val="2"/>
              </w:numPr>
            </w:pPr>
            <w:r>
              <w:rPr>
                <w:i w:val="false"/>
                <w:iCs w:val="false"/>
                <w:color w:val="000000"/>
                <w:sz w:val="20"/>
                <w:szCs w:val="20"/>
              </w:rPr>
              <w:t xml:space="preserve">Evaluation: The proposed summary of cost/price reflects the information included in the 
cost/price volume.  The milestone payment plan is fair and realistic based on approach in the 
technical volume approach.  The offeror provides explanation on how Cost/Price Factor criteria 
compliance is met and has complied with all Criteria instructions (Compliant/Non-Compliant, 
Risk, Strength).</w:t>
            </w:r>
          </w:p>
          <w:p>
            <w:pPr>
              <w:pStyle w:val="ListParagraph"/>
              <w:numPr>
                <w:ilvl w:val="0"/>
                <w:numId w:val="2"/>
              </w:numPr>
            </w:pPr>
            <w:r>
              <w:rPr>
                <w:i w:val="false"/>
                <w:iCs w:val="false"/>
                <w:color w:val="000000"/>
                <w:sz w:val="20"/>
                <w:szCs w:val="20"/>
              </w:rPr>
              <w:t xml:space="preserve">Instruction:  The cost volume shall include detailed basis for the cost estimate showing at least 
the following information, as applicable; labor hours and costs for direct labor, indirect labor, 
materials, travel, other direct costs (identify components making up other direct costs), and 
profit/fee.  Provide adequate explanation for each proposed cost element.</w:t>
            </w:r>
          </w:p>
          <w:p>
            <w:pPr>
              <w:pStyle w:val="ListParagraph"/>
              <w:numPr>
                <w:ilvl w:val="0"/>
                <w:numId w:val="2"/>
              </w:numPr>
            </w:pPr>
            <w:r>
              <w:rPr>
                <w:i w:val="false"/>
                <w:iCs w:val="false"/>
                <w:color w:val="000000"/>
                <w:sz w:val="20"/>
                <w:szCs w:val="20"/>
              </w:rPr>
              <w:t xml:space="preserve">Instruction:  The cost/price volume shall be structured for 24x7 NOC support as a supply where 
each element in the Technical Volume is identified, costed/priced, and provide traceability to the 
baseline software needs identified in Annex 1 KM Baseline Description.  The cost/price volume 
will be put on contract and used to price future changes to the baseline through the SSC/BCC 
Change Management Board (CMB) as increased or decreased supply.  The offeror shall provide 
instructions on how the...</w:t>
            </w:r>
          </w:p>
          <w:p>
            <w:pPr>
              <w:pStyle w:val="ListParagraph"/>
              <w:numPr>
                <w:ilvl w:val="0"/>
                <w:numId w:val="2"/>
              </w:numPr>
            </w:pPr>
            <w:r>
              <w:rPr>
                <w:i w:val="false"/>
                <w:iCs w:val="false"/>
                <w:color w:val="000000"/>
                <w:sz w:val="20"/>
                <w:szCs w:val="20"/>
              </w:rPr>
              <w:t xml:space="preserve">Evaluation:  The proposed cost/price volume provides identification of each element in the 
technical volume appropriately mapped to baseline requirements in the KM Baseline Description 
and adequate instructions on how to use the volume to model the 24x7 NOC support offering 
(Compliant/Non-Compliant, Risk, Strength).</w:t>
            </w:r>
          </w:p>
          <w:p>
            <w:pPr>
              <w:pStyle w:val="ListParagraph"/>
              <w:numPr>
                <w:ilvl w:val="0"/>
                <w:numId w:val="2"/>
              </w:numPr>
            </w:pPr>
            <w:r>
              <w:rPr>
                <w:i w:val="false"/>
                <w:iCs w:val="false"/>
                <w:color w:val="000000"/>
                <w:sz w:val="20"/>
                <w:szCs w:val="20"/>
              </w:rPr>
              <w:t xml:space="preserve">Provide an electronic, working Excel spreadsheet of your cost element summary (e.g.  Volume 2 
– Cost Proposal), which is linked to all tabs in the Excel spreadsheet, with all support 
documentation, plus traceability to the basis for your cost (e.g.  Volume 1 – Technical Proposal).</w:t>
            </w:r>
          </w:p>
          <w:p>
            <w:pPr>
              <w:pStyle w:val="ListParagraph"/>
              <w:numPr>
                <w:ilvl w:val="0"/>
                <w:numId w:val="2"/>
              </w:numPr>
            </w:pPr>
            <w:r>
              <w:rPr>
                <w:i w:val="false"/>
                <w:iCs w:val="false"/>
                <w:color w:val="000000"/>
                <w:sz w:val="20"/>
                <w:szCs w:val="20"/>
              </w:rPr>
              <w:t xml:space="preserve">Contract Documentation Volume 
Offerors shall provide the following information identified below.</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1"/>
              <w:left w:val="single" w:color="0070C0" w:sz="1"/>
              <w:bottom w:val="single" w:color="0070C0" w:sz="1"/>
              <w:right w:val="single" w:color="0070C0" w:sz="1"/>
            </w:tcBorders>
            <w:shd w:fill="D6E3F8" w:val="clear"/>
          </w:tcPr>
          <w:p>
            <w:pPr>
              <w:spacing w:after="80"/>
            </w:pPr>
            <w:r>
              <w:rPr>
                <w:b/>
                <w:bCs/>
                <w:color w:val="0070C0"/>
                <w:sz w:val="18"/>
                <w:szCs w:val="18"/>
                <w:smallCaps/>
              </w:rPr>
              <w:t xml:space="preserve">SECTION M - EVALUATION CRITERIA</w:t>
            </w:r>
          </w:p>
          <w:p>
            <w:pPr>
              <w:pStyle w:val="ListParagraph"/>
              <w:numPr>
                <w:ilvl w:val="0"/>
                <w:numId w:val="2"/>
              </w:numPr>
            </w:pPr>
            <w:r>
              <w:rPr>
                <w:i w:val="false"/>
                <w:iCs w:val="false"/>
                <w:color w:val="000000"/>
                <w:sz w:val="20"/>
                <w:szCs w:val="20"/>
              </w:rPr>
              <w:t xml:space="preserve">Executive Summary and Technical Volume .................................................................................... 6 
1.1 Executive Summary ......................................................................................................................... 7 
1.2 Sub Factor 1: Management Approach ...........................................................................................</w:t>
            </w:r>
          </w:p>
          <w:p>
            <w:pPr>
              <w:pStyle w:val="ListParagraph"/>
              <w:numPr>
                <w:ilvl w:val="0"/>
                <w:numId w:val="2"/>
              </w:numPr>
            </w:pPr>
            <w:r>
              <w:rPr>
                <w:i w:val="false"/>
                <w:iCs w:val="false"/>
                <w:color w:val="000000"/>
                <w:sz w:val="20"/>
                <w:szCs w:val="20"/>
              </w:rPr>
              <w:t xml:space="preserve">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Executive Summary and Technical Volume .................................................................................... 6 
1.1 Executive Summary ......................................................................................................................... 7 
1.2 Sub Factor 1: Management Approach ............................................................................................. 7 
1.3 Sub Factor 2: Infrastructure Approach ................................................................................................... 8</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Executive Summary and Technical Volume .................................................................................... 6 
1.1 Executive Summary ......................................................................................................................... 7 
1.2 Sub Factor 1: Management Approach ............................................................................................. 7 
1.3 Sub Factor 2: Infrastructure Approach ................................................................................................... 8</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retraining of personnel and any prior experience hiring in the area.  The offeror shall also provide 
a detailed ramp up and transition plan.</w:t>
            </w:r>
          </w:p>
          <w:p>
            <w:pPr>
              <w:pStyle w:val="ListParagraph"/>
              <w:numPr>
                <w:ilvl w:val="0"/>
                <w:numId w:val="2"/>
              </w:numPr>
            </w:pPr>
            <w:r>
              <w:rPr>
                <w:i w:val="false"/>
                <w:iCs w:val="false"/>
                <w:color w:val="000000"/>
                <w:sz w:val="20"/>
                <w:szCs w:val="20"/>
              </w:rPr>
              <w:t xml:space="preserve">[REQ] 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retraining of personnel and any prior experience hiring in the area.  The offeror shall also provide 
a detailed ramp up and transition plan.</w:t>
            </w:r>
          </w:p>
          <w:p>
            <w:pPr>
              <w:pStyle w:val="ListParagraph"/>
              <w:numPr>
                <w:ilvl w:val="0"/>
                <w:numId w:val="2"/>
              </w:numPr>
            </w:pPr>
            <w:r>
              <w:rPr>
                <w:i w:val="false"/>
                <w:iCs w:val="false"/>
                <w:color w:val="000000"/>
                <w:sz w:val="20"/>
                <w:szCs w:val="20"/>
              </w:rPr>
              <w:t xml:space="preserve">[REQ] 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retraining of personnel and any prior experience hiring in the area.  The offeror shall also provide 
a detailed ramp up and transition plan.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SEC-F2. Factor 2: Program and Project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Executive Summary and Technical Volume .................................................................................... 6 
1.1 Executive Summary ......................................................................................................................... 7 
1.2 Sub Factor 1: Management Approach ............................................................................................. 7 
1.3 Sub Factor 2: Infrastructure Approach ....................................................</w:t>
            </w:r>
          </w:p>
          <w:p>
            <w:pPr>
              <w:pStyle w:val="ListParagraph"/>
              <w:numPr>
                <w:ilvl w:val="0"/>
                <w:numId w:val="2"/>
              </w:numPr>
            </w:pPr>
            <w:r>
              <w:rPr>
                <w:i w:val="false"/>
                <w:iCs w:val="false"/>
                <w:color w:val="000000"/>
                <w:sz w:val="20"/>
                <w:szCs w:val="20"/>
              </w:rPr>
              <w:t xml:space="preserve">Cost &amp; Price Volume ........................................................................................................................... 8 
2.1 Criteria 1: Supply Pricing for 24x7 Network Operations Center ........................................................... 9 
2.2 Criteria 2:  Labor Rate Compliance ............................................................................................... 10</w:t>
            </w:r>
          </w:p>
          <w:p>
            <w:pPr>
              <w:pStyle w:val="ListParagraph"/>
              <w:numPr>
                <w:ilvl w:val="0"/>
                <w:numId w:val="2"/>
              </w:numPr>
            </w:pPr>
            <w:r>
              <w:rPr>
                <w:i w:val="false"/>
                <w:iCs w:val="false"/>
                <w:color w:val="000000"/>
                <w:sz w:val="20"/>
                <w:szCs w:val="20"/>
              </w:rPr>
              <w:t xml:space="preserve">Contract Documentation Volume ................................................................................................... 10 
3.1 Evidence of Online Representation and Certifications Application ............................................... 11 
3.2 SF1449 ........................................................................................................................................... 11 
3.3 Draft DD Form 254 .......................................................................</w:t>
            </w:r>
          </w:p>
          <w:p>
            <w:pPr>
              <w:pStyle w:val="ListParagraph"/>
              <w:numPr>
                <w:ilvl w:val="0"/>
                <w:numId w:val="2"/>
              </w:numPr>
            </w:pPr>
            <w:r>
              <w:rPr>
                <w:i w:val="false"/>
                <w:iCs w:val="false"/>
                <w:color w:val="000000"/>
                <w:sz w:val="20"/>
                <w:szCs w:val="20"/>
              </w:rPr>
              <w:t xml:space="preserve">This supply delivery order solicitation complies with Federal Acquisition Regulation Part 
16.505.  This is a competitive solicitation that uses the tradeoff methodology which allows the 
Government to award to other than the lowest priced offeror or other than the highest technically 
rated offeror.  Delivery order award will be made based on the proposal that offers the best value 
to the Government relative to the minimum technical requirements established in these</w:t>
            </w:r>
          </w:p>
          <w:p>
            <w:pPr>
              <w:pStyle w:val="ListParagraph"/>
              <w:numPr>
                <w:ilvl w:val="0"/>
                <w:numId w:val="2"/>
              </w:numPr>
            </w:pPr>
            <w:r>
              <w:rPr>
                <w:i w:val="false"/>
                <w:iCs w:val="false"/>
                <w:color w:val="000000"/>
                <w:sz w:val="20"/>
                <w:szCs w:val="20"/>
              </w:rPr>
              <w:t xml:space="preserve">The technical subfactors are more important than cost/price criteria.  Within the Technical 
Factor, Management Support (SF1) is more important than Infrastructure Approach (SF2).  
Within the Cost/Price Volume, all criteria are evaluated equally.  An “unacceptable” rating for 
any single technical sub factor will make an Offeror ineligible for award.  A “non-compliant” 
rating for any price criteria will make an Offeror ineligible for award.</w:t>
            </w:r>
          </w:p>
          <w:p>
            <w:pPr>
              <w:pStyle w:val="ListParagraph"/>
              <w:numPr>
                <w:ilvl w:val="0"/>
                <w:numId w:val="2"/>
              </w:numPr>
            </w:pPr>
            <w:r>
              <w:rPr>
                <w:i w:val="false"/>
                <w:iCs w:val="false"/>
                <w:color w:val="000000"/>
                <w:sz w:val="20"/>
                <w:szCs w:val="20"/>
              </w:rPr>
              <w:t xml:space="preserve">Technical           Cost/Price   
Evaluation weighting formula:          SF1 &gt; SF2      &gt;&gt;           (Criteria 1 = Criteria 2 = Criteria 3)</w:t>
            </w:r>
          </w:p>
          <w:p>
            <w:pPr>
              <w:pStyle w:val="ListParagraph"/>
              <w:numPr>
                <w:ilvl w:val="0"/>
                <w:numId w:val="2"/>
              </w:numPr>
            </w:pPr>
            <w:r>
              <w:rPr>
                <w:i w:val="false"/>
                <w:iCs w:val="false"/>
                <w:color w:val="000000"/>
                <w:sz w:val="20"/>
                <w:szCs w:val="20"/>
              </w:rPr>
              <w:t xml:space="preserve">Proposal Submittal 
Submission of a proposal constitutes acknowledgement and agreement to the terms and 
conditions of this solicitation, to include instructions in the attachments.  Late proposals may 
make an Offeror ineligible for award.  This solicitation requires the use of a government 
managed secure file transfer system.  Email and physical submissions are not acceptable.  
Offerors should allow adequate time with consideration to resolve technical issues that may</w:t>
            </w:r>
          </w:p>
          <w:p>
            <w:pPr>
              <w:pStyle w:val="ListParagraph"/>
              <w:numPr>
                <w:ilvl w:val="0"/>
                <w:numId w:val="2"/>
              </w:numPr>
            </w:pPr>
            <w:r>
              <w:rPr>
                <w:i w:val="false"/>
                <w:iCs w:val="false"/>
                <w:color w:val="000000"/>
                <w:sz w:val="20"/>
                <w:szCs w:val="20"/>
              </w:rPr>
              <w:t xml:space="preserve">Instructions: Electronic submission only.  Use the secure file transfer system; eBuy or 
other GSA platform as indicated by the PCO.  Proposals must be received no later 
than 1700 Pacific Daylight-Saving Time, 3 February 2024. Additionally, 
subcontractors shall provide their labor categories and rates included in the prime cost 
volume and supply pricing table compliant with Cost Criteria 2 (section 2 of the 
Placement Procedures) directly to the Government Contracting Team via email as a 
tai...</w:t>
            </w:r>
          </w:p>
          <w:p>
            <w:pPr>
              <w:pStyle w:val="ListParagraph"/>
              <w:numPr>
                <w:ilvl w:val="0"/>
                <w:numId w:val="2"/>
              </w:numPr>
            </w:pPr>
            <w:r>
              <w:rPr>
                <w:i w:val="false"/>
                <w:iCs w:val="false"/>
                <w:color w:val="000000"/>
                <w:sz w:val="20"/>
                <w:szCs w:val="20"/>
              </w:rPr>
              <w:t xml:space="preserve">At this time, the Government intends to make award based on the initial proposal submissions 
without conducting interchanges, Therefore, each offer should contain the Offeror’s best terms 
from a price and technical standpoint.</w:t>
            </w:r>
          </w:p>
          <w:p>
            <w:pPr>
              <w:pStyle w:val="ListParagraph"/>
              <w:numPr>
                <w:ilvl w:val="0"/>
                <w:numId w:val="2"/>
              </w:numPr>
            </w:pPr>
            <w:r>
              <w:rPr>
                <w:i w:val="false"/>
                <w:iCs w:val="false"/>
                <w:color w:val="000000"/>
                <w:sz w:val="20"/>
                <w:szCs w:val="20"/>
              </w:rPr>
              <w:t xml:space="preserve">Proposal Format 
Proposals shall be submitted to the Government in separate volumes as set forth below.</w:t>
            </w:r>
          </w:p>
          <w:p>
            <w:pPr>
              <w:pStyle w:val="ListParagraph"/>
              <w:numPr>
                <w:ilvl w:val="0"/>
                <w:numId w:val="2"/>
              </w:numPr>
            </w:pPr>
            <w:r>
              <w:rPr>
                <w:i w:val="false"/>
                <w:iCs w:val="false"/>
                <w:color w:val="000000"/>
                <w:sz w:val="20"/>
                <w:szCs w:val="20"/>
              </w:rPr>
              <w:t xml:space="preserve">Volume Title 
Description 
Page Limit Included in Page 
Count (Y/N/NA)</w:t>
            </w:r>
          </w:p>
          <w:p>
            <w:pPr>
              <w:pStyle w:val="ListParagraph"/>
              <w:numPr>
                <w:ilvl w:val="0"/>
                <w:numId w:val="2"/>
              </w:numPr>
            </w:pPr>
            <w:r>
              <w:rPr>
                <w:i w:val="false"/>
                <w:iCs w:val="false"/>
                <w:color w:val="000000"/>
                <w:sz w:val="20"/>
                <w:szCs w:val="20"/>
              </w:rPr>
              <w:t xml:space="preserve">1 Technical 8 Pages  
 Executive Summary 1 Y 
SF 1 Management Approach 10 Y 
SF 2 Infrastructure Approach 10 Y 
2 Cost &amp; Price None  
Criteria 1 Supply Pricing 24/7 NOC None 
NA 
Criteria 2 Labor Rate Compliance None NA 
Criteria 3 Contract Documentation None  
Table 1</w:t>
            </w:r>
          </w:p>
          <w:p>
            <w:pPr>
              <w:pStyle w:val="ListParagraph"/>
              <w:numPr>
                <w:ilvl w:val="0"/>
                <w:numId w:val="2"/>
              </w:numPr>
            </w:pPr>
            <w:r>
              <w:rPr>
                <w:i w:val="false"/>
                <w:iCs w:val="false"/>
                <w:color w:val="000000"/>
                <w:sz w:val="20"/>
                <w:szCs w:val="20"/>
              </w:rPr>
              <w:t xml:space="preserve">A page is the single side of an 8.5x11-inch paper with one-inch margins all around and shall 
contain sequential page numbers. 
If 11x17 pages are used, they shall be counted as 2 pages, use one-
inch margins all around, and shall include both page numbers.  Use no smaller than 12-point Times 
New Roman font for paragraph body.  Graphics and tables may use no smaller than 10-point 
Times New Roman font.  Each volume shall include a Title Page and Table of Contents.  
Sectionalized page numbering...</w:t>
            </w:r>
          </w:p>
          <w:p>
            <w:pPr>
              <w:pStyle w:val="ListParagraph"/>
              <w:numPr>
                <w:ilvl w:val="0"/>
                <w:numId w:val="2"/>
              </w:numPr>
            </w:pPr>
            <w:r>
              <w:rPr>
                <w:i w:val="false"/>
                <w:iCs w:val="false"/>
                <w:color w:val="000000"/>
                <w:sz w:val="20"/>
                <w:szCs w:val="20"/>
              </w:rPr>
              <w:t xml:space="preserve">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w:t>
            </w:r>
          </w:p>
          <w:p>
            <w:pPr>
              <w:pStyle w:val="ListParagraph"/>
              <w:numPr>
                <w:ilvl w:val="0"/>
                <w:numId w:val="2"/>
              </w:numPr>
            </w:pPr>
            <w:r>
              <w:rPr>
                <w:i w:val="false"/>
                <w:iCs w:val="false"/>
                <w:color w:val="000000"/>
                <w:sz w:val="20"/>
                <w:szCs w:val="20"/>
              </w:rPr>
              <w:t xml:space="preserve">The Government will evaluate proposals based on the technical sub factors identified</w:t>
            </w:r>
          </w:p>
          <w:p>
            <w:pPr>
              <w:pStyle w:val="ListParagraph"/>
              <w:numPr>
                <w:ilvl w:val="0"/>
                <w:numId w:val="2"/>
              </w:numPr>
            </w:pPr>
            <w:r>
              <w:rPr>
                <w:i w:val="false"/>
                <w:iCs w:val="false"/>
                <w:color w:val="000000"/>
                <w:sz w:val="20"/>
                <w:szCs w:val="20"/>
              </w:rPr>
              <w:t xml:space="preserve">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Technical Rating: 
Exceptional – Proposal clearly exceeds minimum requirements, contains multiple strengths and raises 
government confidence that the Offeror is capable of exceeding expectations.</w:t>
            </w:r>
          </w:p>
          <w:p>
            <w:pPr>
              <w:pStyle w:val="ListParagraph"/>
              <w:numPr>
                <w:ilvl w:val="0"/>
                <w:numId w:val="2"/>
              </w:numPr>
            </w:pPr>
            <w:r>
              <w:rPr>
                <w:i w:val="false"/>
                <w:iCs w:val="false"/>
                <w:color w:val="000000"/>
                <w:sz w:val="20"/>
                <w:szCs w:val="20"/>
              </w:rPr>
              <w:t xml:space="preserve">Evaluation: Any summary material presented here shall not be considered as meeting the 
requirements for any portions of other volumes of the proposal.</w:t>
            </w:r>
          </w:p>
          <w:p>
            <w:pPr>
              <w:pStyle w:val="ListParagraph"/>
              <w:numPr>
                <w:ilvl w:val="0"/>
                <w:numId w:val="2"/>
              </w:numPr>
            </w:pPr>
            <w:r>
              <w:rPr>
                <w:i w:val="false"/>
                <w:iCs w:val="false"/>
                <w:color w:val="000000"/>
                <w:sz w:val="20"/>
                <w:szCs w:val="20"/>
              </w:rPr>
              <w:t xml:space="preserve">Evaluation: The proposed technical solution and all documentation will be evaluated for meeting 
the Government’s requirement (subjective).  The Offeror’s proposed organization structure and 
staffing will be evaluated on the capability to effect and achieve the requirements stated in the 
PWS.  The Government may assign strengths for exceeding the staffing requirements or 
identifying opportunities for automation (technical rating / Strength / Risk).</w:t>
            </w:r>
          </w:p>
          <w:p>
            <w:pPr>
              <w:pStyle w:val="ListParagraph"/>
              <w:numPr>
                <w:ilvl w:val="0"/>
                <w:numId w:val="2"/>
              </w:numPr>
            </w:pPr>
            <w:r>
              <w:rPr>
                <w:i w:val="false"/>
                <w:iCs w:val="false"/>
                <w:color w:val="000000"/>
                <w:sz w:val="20"/>
                <w:szCs w:val="20"/>
              </w:rPr>
              <w:t xml:space="preserve">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Evaluation: The proposed approach will be evaluated for the degree of confidence the 
Government has in an offeror’s ability to meet the requirements outlined in the PWS, as well as 
the ability to maintain the production systems and legacy equipment with zero drops in service.  
Approach will also be evaluated on the governments confidence that the offeror will be able to 
provide key personnel that meet all requirements identified in the SOW (technical rating / 
Strength / Risk).</w:t>
            </w:r>
          </w:p>
          <w:p>
            <w:pPr>
              <w:pStyle w:val="ListParagraph"/>
              <w:numPr>
                <w:ilvl w:val="0"/>
                <w:numId w:val="2"/>
              </w:numPr>
            </w:pPr>
            <w:r>
              <w:rPr>
                <w:i w:val="false"/>
                <w:iCs w:val="false"/>
                <w:color w:val="000000"/>
                <w:sz w:val="20"/>
                <w:szCs w:val="20"/>
              </w:rPr>
              <w:t xml:space="preserve">Cost &amp; Price Volume 
The Cost/Price volume should be specific and complete. Readability, clarity, and coherence are 
very important.  The offeror’s Cost/Price proposal will be evaluated via a cost analysis, in order 
to determine if the overall price is fair and reasonable.  Using the instructions provided below, 
provide as specifically as possible the actual methodology used to develop the cost/price</w:t>
            </w:r>
          </w:p>
          <w:p>
            <w:pPr>
              <w:pStyle w:val="ListParagraph"/>
              <w:numPr>
                <w:ilvl w:val="0"/>
                <w:numId w:val="2"/>
              </w:numPr>
            </w:pPr>
            <w:r>
              <w:rPr>
                <w:i w:val="false"/>
                <w:iCs w:val="false"/>
                <w:color w:val="000000"/>
                <w:sz w:val="20"/>
                <w:szCs w:val="20"/>
              </w:rPr>
              <w:t xml:space="preserve">The Government will evaluate proposals based on the technical sub factors identified below.  
Offerors shall comply with all sub factor instructions. 
Cost/Price 
Factor 
Criteria 1 Supply Pricing for 24x7 Network Operations 
Center  
Compliant/Non-
Compliant, 
Strength, Risk 
Criteria 2 Labor Rate Compliance Compliant/Non-Compliant</w:t>
            </w:r>
          </w:p>
          <w:p>
            <w:pPr>
              <w:pStyle w:val="ListParagraph"/>
              <w:numPr>
                <w:ilvl w:val="0"/>
                <w:numId w:val="2"/>
              </w:numPr>
            </w:pPr>
            <w:r>
              <w:rPr>
                <w:i w:val="false"/>
                <w:iCs w:val="false"/>
                <w:color w:val="000000"/>
                <w:sz w:val="20"/>
                <w:szCs w:val="20"/>
              </w:rPr>
              <w:t xml:space="preserve">Instruction: The contractor shall develop and deliver cost volume which describes how the 
Cost/Price Factor compliance is met.  The offeror (and sub-contractors if applicable) shall 
complete and submit a Supply Pricing Table for 24/7 NOC (see attachment 4 for template). This 
table shall include tabs for each environment, environment agnostic, travel, cost reimbursable 
elements, labor, and milestone payments.  Within these tabs, the contractor shall allocate 
cost/price to support the needs i...</w:t>
            </w:r>
          </w:p>
          <w:p>
            <w:pPr>
              <w:pStyle w:val="ListParagraph"/>
              <w:numPr>
                <w:ilvl w:val="0"/>
                <w:numId w:val="2"/>
              </w:numPr>
            </w:pPr>
            <w:r>
              <w:rPr>
                <w:i w:val="false"/>
                <w:iCs w:val="false"/>
                <w:color w:val="000000"/>
                <w:sz w:val="20"/>
                <w:szCs w:val="20"/>
              </w:rPr>
              <w:t xml:space="preserve">Evaluation: The proposed summary of cost/price reflects the information included in the 
cost/price volume.  The milestone payment plan is fair and realistic based on approach in the 
technical volume approach.  The offeror provides explanation on how Cost/Price Factor criteria 
compliance is met and has complied with all Criteria instructions (Compliant/Non-Compliant, 
Risk, Strength).</w:t>
            </w:r>
          </w:p>
          <w:p>
            <w:pPr>
              <w:pStyle w:val="ListParagraph"/>
              <w:numPr>
                <w:ilvl w:val="0"/>
                <w:numId w:val="2"/>
              </w:numPr>
            </w:pPr>
            <w:r>
              <w:rPr>
                <w:i w:val="false"/>
                <w:iCs w:val="false"/>
                <w:color w:val="000000"/>
                <w:sz w:val="20"/>
                <w:szCs w:val="20"/>
              </w:rPr>
              <w:t xml:space="preserve">Instruction:  The cost volume shall include detailed basis for the cost estimate showing at least 
the following information, as applicable; labor hours and costs for direct labor, indirect labor, 
materials, travel, other direct costs (identify components making up other direct costs), and 
profit/fee.  Provide adequate explanation for each proposed cost element.</w:t>
            </w:r>
          </w:p>
          <w:p>
            <w:pPr>
              <w:pStyle w:val="ListParagraph"/>
              <w:numPr>
                <w:ilvl w:val="0"/>
                <w:numId w:val="2"/>
              </w:numPr>
            </w:pPr>
            <w:r>
              <w:rPr>
                <w:i w:val="false"/>
                <w:iCs w:val="false"/>
                <w:color w:val="000000"/>
                <w:sz w:val="20"/>
                <w:szCs w:val="20"/>
              </w:rPr>
              <w:t xml:space="preserve">Instruction:  The cost/price volume shall be structured for 24x7 NOC support as a supply where 
each element in the Technical Volume is identified, costed/priced, and provide traceability to the 
baseline software needs identified in Annex 1 KM Baseline Description.  The cost/price volume 
will be put on contract and used to price future changes to the baseline through the SSC/BCC 
Change Management Board (CMB) as increased or decreased supply.  The offeror shall provide 
instructions on how the...</w:t>
            </w:r>
          </w:p>
          <w:p>
            <w:pPr>
              <w:pStyle w:val="ListParagraph"/>
              <w:numPr>
                <w:ilvl w:val="0"/>
                <w:numId w:val="2"/>
              </w:numPr>
            </w:pPr>
            <w:r>
              <w:rPr>
                <w:i w:val="false"/>
                <w:iCs w:val="false"/>
                <w:color w:val="000000"/>
                <w:sz w:val="20"/>
                <w:szCs w:val="20"/>
              </w:rPr>
              <w:t xml:space="preserve">Evaluation:  The proposed cost/price volume provides identification of each element in the 
technical volume appropriately mapped to baseline requirements in the KM Baseline Description 
and adequate instructions on how to use the volume to model the 24x7 NOC support offering 
(Compliant/Non-Compliant, Risk, Strength).</w:t>
            </w:r>
          </w:p>
          <w:p>
            <w:pPr>
              <w:pStyle w:val="ListParagraph"/>
              <w:numPr>
                <w:ilvl w:val="0"/>
                <w:numId w:val="2"/>
              </w:numPr>
            </w:pPr>
            <w:r>
              <w:rPr>
                <w:i w:val="false"/>
                <w:iCs w:val="false"/>
                <w:color w:val="000000"/>
                <w:sz w:val="20"/>
                <w:szCs w:val="20"/>
              </w:rPr>
              <w:t xml:space="preserve">Provide an electronic, working Excel spreadsheet of your cost element summary (e.g.  Volume 2 
– Cost Proposal), which is linked to all tabs in the Excel spreadsheet, with all support 
documentation, plus traceability to the basis for your cost (e.g.  Volume 1 – Technical Proposal).</w:t>
            </w:r>
          </w:p>
          <w:p>
            <w:pPr>
              <w:pStyle w:val="ListParagraph"/>
              <w:numPr>
                <w:ilvl w:val="0"/>
                <w:numId w:val="2"/>
              </w:numPr>
            </w:pPr>
            <w:r>
              <w:rPr>
                <w:i w:val="false"/>
                <w:iCs w:val="false"/>
                <w:color w:val="000000"/>
                <w:sz w:val="20"/>
                <w:szCs w:val="20"/>
              </w:rPr>
              <w:t xml:space="preserve">Contract Documentation Volume 
Offerors shall provide the following information identified below.</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1"/>
              <w:left w:val="single" w:color="0070C0" w:sz="1"/>
              <w:bottom w:val="single" w:color="0070C0" w:sz="1"/>
              <w:right w:val="single" w:color="0070C0" w:sz="1"/>
            </w:tcBorders>
            <w:shd w:fill="D6E3F8" w:val="clear"/>
          </w:tcPr>
          <w:p>
            <w:pPr>
              <w:spacing w:after="80"/>
            </w:pPr>
            <w:r>
              <w:rPr>
                <w:b/>
                <w:bCs/>
                <w:color w:val="0070C0"/>
                <w:sz w:val="18"/>
                <w:szCs w:val="18"/>
                <w:smallCaps/>
              </w:rPr>
              <w:t xml:space="preserve">SECTION M - EVALUATION CRITERIA</w:t>
            </w:r>
          </w:p>
          <w:p>
            <w:pPr>
              <w:pStyle w:val="ListParagraph"/>
              <w:numPr>
                <w:ilvl w:val="0"/>
                <w:numId w:val="2"/>
              </w:numPr>
            </w:pPr>
            <w:r>
              <w:rPr>
                <w:i w:val="false"/>
                <w:iCs w:val="false"/>
                <w:color w:val="000000"/>
                <w:sz w:val="20"/>
                <w:szCs w:val="20"/>
              </w:rPr>
              <w:t xml:space="preserve">=== Sheet: CLIN 000X Travel Estimate ===
** Create a breakout of projected travel and ODC costs which will be linked to the appropriate tab
include links to environments and environment agnostic/independent tabs |  |  |  |  |  |  | 
Platform Team | # People | # Days | Location | Event | Cost/person | Total Cost | 
24x7 Support team | 2 | 5 | Vandenberg SFB, CA | Quarterly Program Incrementals | 25...</w:t>
            </w:r>
          </w:p>
          <w:p>
            <w:pPr>
              <w:pStyle w:val="ListParagraph"/>
              <w:numPr>
                <w:ilvl w:val="0"/>
                <w:numId w:val="2"/>
              </w:numPr>
            </w:pPr>
            <w:r>
              <w:rPr>
                <w:i w:val="false"/>
                <w:iCs w:val="false"/>
                <w:color w:val="000000"/>
                <w:sz w:val="20"/>
                <w:szCs w:val="20"/>
              </w:rPr>
              <w:t xml:space="preserve">CUI 
 CUI 4  
Table of Contents 
1 Introduction ............................................................................................................................. 5 
2 Program Management .............................................................................................................. 8 
2.1 General ...............................................................................</w:t>
            </w:r>
          </w:p>
          <w:p>
            <w:pPr>
              <w:pStyle w:val="ListParagraph"/>
              <w:numPr>
                <w:ilvl w:val="0"/>
                <w:numId w:val="2"/>
              </w:numPr>
            </w:pPr>
            <w:r>
              <w:rPr>
                <w:i w:val="false"/>
                <w:iCs w:val="false"/>
                <w:color w:val="000000"/>
                <w:sz w:val="20"/>
                <w:szCs w:val="20"/>
              </w:rPr>
              <w:t xml:space="preserve">CUI 
 CUI 8  
2 Program Management 
2.1 General 
2.1.1 The Contractor shall provide program management and staffing resources necessary to 
plan, manage, direct, control, and report on all activities contributing to requirements 
identified herein. 
2.1.2 The Contractor shall utilize government-furnished communication tools to include, but 
not limited to: Google Electronic Mail (e-mail) (Impact L...</w:t>
            </w:r>
          </w:p>
          <w:p>
            <w:pPr>
              <w:pStyle w:val="ListParagraph"/>
              <w:numPr>
                <w:ilvl w:val="0"/>
                <w:numId w:val="2"/>
              </w:numPr>
            </w:pPr>
            <w:r>
              <w:rPr>
                <w:i w:val="false"/>
                <w:iCs w:val="false"/>
                <w:color w:val="000000"/>
                <w:sz w:val="20"/>
                <w:szCs w:val="20"/>
              </w:rPr>
              <w:t xml:space="preserve">The contractor shall report events within 48 hours of identification or within 
24 hours of the event, whichever comes sooner.  
2.1.9 The Contractor shall establish necessary subcontracts and ensure the flow down of 
Intellectual Property assertions, Program Management requirements, and Personnel and 
Staffing requirements. The Contractor shall ensure that subcontractor data available to 
the Con...</w:t>
            </w:r>
          </w:p>
          <w:p>
            <w:pPr>
              <w:pStyle w:val="ListParagraph"/>
              <w:numPr>
                <w:ilvl w:val="0"/>
                <w:numId w:val="2"/>
              </w:numPr>
            </w:pPr>
            <w:r>
              <w:rPr>
                <w:i w:val="false"/>
                <w:iCs w:val="false"/>
                <w:color w:val="000000"/>
                <w:sz w:val="20"/>
                <w:szCs w:val="20"/>
              </w:rPr>
              <w:t xml:space="preserve">This includes, but is not limited to, changes to product resourcing, 
security, interfaces (i.e., connections, data, messaging), commercial tooling, and any 
major product revisions. 
2.2.5 The Contractor shall provide weekly activity reports summarizing key milestones, 
activities, and operational benefits (e.g., removed X-hours of manual tasks with 
automated function).   
2.3 Meeting Support an...</w:t>
            </w:r>
          </w:p>
          <w:p>
            <w:pPr>
              <w:pStyle w:val="ListParagraph"/>
              <w:numPr>
                <w:ilvl w:val="0"/>
                <w:numId w:val="2"/>
              </w:numPr>
            </w:pPr>
            <w:r>
              <w:rPr>
                <w:i w:val="false"/>
                <w:iCs w:val="false"/>
                <w:color w:val="000000"/>
                <w:sz w:val="20"/>
                <w:szCs w:val="20"/>
              </w:rPr>
              <w:t xml:space="preserve">CUI 
 CUI 10  
2.3.6 The Contractor shall support quarterly, multi-day (nominally three-day), in-person 
Program Increment events in Colorado Springs, Colorado. The location, duration, and 
frequency may change as requested by the SPO. 
2.3.7 The Contractor shall support quarterly, two-week long, in-person test events at operator 
location(s). Initial operator location will be at Vandenberg Space ...</w:t>
            </w:r>
          </w:p>
          <w:p>
            <w:pPr>
              <w:pStyle w:val="ListParagraph"/>
              <w:numPr>
                <w:ilvl w:val="0"/>
                <w:numId w:val="2"/>
              </w:numPr>
            </w:pPr>
            <w:r>
              <w:rPr>
                <w:i w:val="false"/>
                <w:iCs w:val="false"/>
                <w:color w:val="000000"/>
                <w:sz w:val="20"/>
                <w:szCs w:val="20"/>
              </w:rPr>
              <w:t xml:space="preserve">CUI 
 CUI 11  
• Program Management plan, 
• Staffing Plan, 
• Subcontract information, 
• Organizational Conflict of Interest Plan 
2.4.5 A004 PMR shall include content provided within the SPO-provided template. This 
includes, but is not limited to: 
• Internal (execution) product risks,  
• External (dependency) product risks,  
• Metrics,  
• Organizational structure and projected staffing cha...</w:t>
            </w:r>
          </w:p>
          <w:p>
            <w:pPr>
              <w:pStyle w:val="ListParagraph"/>
              <w:numPr>
                <w:ilvl w:val="0"/>
                <w:numId w:val="2"/>
              </w:numPr>
            </w:pPr>
            <w:r>
              <w:rPr>
                <w:i w:val="false"/>
                <w:iCs w:val="false"/>
                <w:color w:val="000000"/>
                <w:sz w:val="20"/>
                <w:szCs w:val="20"/>
              </w:rPr>
              <w:t xml:space="preserve">CUI 
 CUI 18  
• Desktop support 
• Storage arrays  
• Edge Devices 
• Last mile connectivity to KM environment(s) 
• Manage external data feeds to Space C2 environments 
5.2.2 The Contractor shall provide support to transition Space C2 mission operations from 
existing systems to modern products through scheduled and unscheduled support actions 
that maintain the status and health of the system a...</w:t>
            </w:r>
          </w:p>
          <w:p>
            <w:pPr>
              <w:pStyle w:val="ListParagraph"/>
              <w:numPr>
                <w:ilvl w:val="0"/>
                <w:numId w:val="2"/>
              </w:numPr>
            </w:pPr>
            <w:r>
              <w:rPr>
                <w:i w:val="false"/>
                <w:iCs w:val="false"/>
                <w:color w:val="000000"/>
                <w:sz w:val="20"/>
                <w:szCs w:val="20"/>
              </w:rPr>
              <w:t xml:space="preserve">CUI 
 CUI 20  
7.1.3 The on-ramp plan shall include how the Contractor shall successfully integrate services 
and products and their respective environments. This includes, but is not limited to 
SDANet, SPARTAN, C2Ops on-prem, and the Space C2 software (i.e., ATLAS, Iris, 
Hyperion clusters). 
7.1.4 The on-ramp plan shall include the staffing required over time to complete the on-ramp 
and the Co...</w:t>
            </w:r>
          </w:p>
          <w:p>
            <w:pPr>
              <w:pStyle w:val="ListParagraph"/>
              <w:numPr>
                <w:ilvl w:val="0"/>
                <w:numId w:val="2"/>
              </w:numPr>
            </w:pPr>
            <w:r>
              <w:rPr>
                <w:i w:val="false"/>
                <w:iCs w:val="false"/>
                <w:color w:val="000000"/>
                <w:sz w:val="20"/>
                <w:szCs w:val="20"/>
              </w:rPr>
              <w:t xml:space="preserve">Executive Summary and Technical Volume .................................................................................... 6 
1.1 Executive Summary ......................................................................................................................... 7 
1.2 Sub Factor 1: Management Approach ...........................................................................................</w:t>
            </w:r>
          </w:p>
          <w:p>
            <w:pPr>
              <w:pStyle w:val="ListParagraph"/>
              <w:numPr>
                <w:ilvl w:val="0"/>
                <w:numId w:val="2"/>
              </w:numPr>
            </w:pPr>
            <w:r>
              <w:rPr>
                <w:i w:val="false"/>
                <w:iCs w:val="false"/>
                <w:color w:val="000000"/>
                <w:sz w:val="20"/>
                <w:szCs w:val="20"/>
              </w:rPr>
              <w:t xml:space="preserve">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Points of Contact 
Offerors shall provide primary and alternate points of contact including job title, telephone 
number and email address responsible for working non-disclosure agreements and subcontractor 
agreements as well as all program management and contracting functions for this delivery order.</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Executive Summary and Technical Volume .................................................................................... 6 
1.1 Executive Summary ......................................................................................................................... 7 
1.2 Sub Factor 1: Management Approach ............................................................................................. 7 
1.3 Sub Factor 2: Infrastructure Approach ................................................................................................... 8</w:t>
            </w:r>
          </w:p>
          <w:p>
            <w:pPr>
              <w:pStyle w:val="ListParagraph"/>
              <w:numPr>
                <w:ilvl w:val="0"/>
                <w:numId w:val="2"/>
              </w:numPr>
            </w:pPr>
            <w:r>
              <w:rPr>
                <w:i w:val="false"/>
                <w:iCs w:val="false"/>
                <w:color w:val="000000"/>
                <w:sz w:val="20"/>
                <w:szCs w:val="20"/>
              </w:rPr>
              <w:t xml:space="preserve">[REQ] Executive Summary and Technical Volume .................................................................................... 6 
1.1 Executive Summary ......................................................................................................................... 7 
1.2 Sub Factor 1: Management Approach ............................................................................................. 7 
1.3 Sub Factor 2: Infrastructure Approach ................................................................................................... 8</w:t>
            </w:r>
          </w:p>
          <w:p>
            <w:pPr>
              <w:pStyle w:val="ListParagraph"/>
              <w:numPr>
                <w:ilvl w:val="0"/>
                <w:numId w:val="2"/>
              </w:numPr>
            </w:pPr>
            <w:r>
              <w:rPr>
                <w:i w:val="false"/>
                <w:iCs w:val="false"/>
                <w:color w:val="000000"/>
                <w:sz w:val="20"/>
                <w:szCs w:val="20"/>
              </w:rPr>
              <w:t xml:space="preserve">[REQ] CUI 
 CUI 10  
2.3.6 The Contractor shall support quarterly, multi-day (nominally three-day), in-person 
Program Increment events in Colorado Springs, Colorado. The location, duration, and 
frequency may change as requested by the SPO. 
2.3.7 The Contractor shall support quarterly, two-week long, in-person test events at operator 
location(s). Initial operator location will be at Vandenberg Space Force Base, CA; 
alternative locations may include, but are not limited to, Dahlgren Naval Support 
Facility, VA and Schriever SFB, CO. The duration and frequency may change as 
requested by the SPO.  
2.3.8 The Contractor shall make their own travel and lodging arrangements and shall ensure all 
required security requirements (e.g., Visit Requests) required for access to installations 
and/or facilities are completed prior to travel.  Compact Cars and Economy seats shall be 
used when available. 
2.3.9 The Contractor shall support meetings with mission partners and stakeholders as needed 
at required classification levels at a minimum Quarterly. 
2.4 Contract Data Requirements List (CDRL) 
2.4.1 The Contractor shall provide the CDRLs identified in Table 2. The SPO will review the 
submission of data per the CDRL prior to acceptance, acceptance criteria will include 
verification of appropriate intellectual property markings. 
Table 2: Contract Data Requirements List 
# CDRL Frequency 
A001 Cost Funds Status Report (CFSR) Monthly 
A002 Program Protection Implementation Plan (PPIP) Once 
A003 Data Accession List (DAL) Periodic 
A004 Program Management Review (PMR) Monthly</w:t>
            </w:r>
          </w:p>
          <w:p>
            <w:pPr>
              <w:pStyle w:val="ListParagraph"/>
              <w:numPr>
                <w:ilvl w:val="0"/>
                <w:numId w:val="2"/>
              </w:numPr>
            </w:pPr>
            <w:r>
              <w:rPr>
                <w:i w:val="false"/>
                <w:iCs w:val="false"/>
                <w:color w:val="000000"/>
                <w:sz w:val="20"/>
                <w:szCs w:val="20"/>
              </w:rPr>
              <w:t xml:space="preserve">[REQ] CUI 
 CUI 11  
• Program Management plan, 
• Staffing Plan, 
• Subcontract information, 
• Organizational Conflict of Interest Plan 
2.4.5 A004 PMR shall include content provided within the SPO-provided template. This 
includes, but is not limited to: 
• Internal (execution) product risks,  
• External (dependency) product risks,  
• Metrics,  
• Organizational structure and projected staffing changes that spans a minimum of a 
30-day forecast,  
• Obligation and expenditure status and forecast,  
• Invoice status,  
• Travel projections, and  
• Bill of materials. 
2.6         Associate Contractor Agreements &amp; Other Agreements 
2.4.6 The Contractor shall enter into ACAs with the contractors listed at Vandenberg Space 
Force Base (VSFB) to support cross-project integration for accomplishment of the SPO’s</w:t>
            </w:r>
          </w:p>
          <w:p>
            <w:pPr>
              <w:pStyle w:val="ListParagraph"/>
              <w:numPr>
                <w:ilvl w:val="0"/>
                <w:numId w:val="2"/>
              </w:numPr>
            </w:pPr>
            <w:r>
              <w:rPr>
                <w:i w:val="false"/>
                <w:iCs w:val="false"/>
                <w:color w:val="000000"/>
                <w:sz w:val="20"/>
                <w:szCs w:val="20"/>
              </w:rPr>
              <w:t xml:space="preserve">[REQ] 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[REQ] 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[REQ] 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[REQ] CUI 
 CUI 8  
2 Program Management 
2.1 General 
2.1.1 The Contractor shall provide program management and staffing resources necessary to 
plan, manage, direct, control, and report on all activities contributing to requirements 
identified herein. 
2.1.2 The Contractor shall utilize government-furnished communication tools to include, but 
not limited to: Google Electronic Mail (e-mail) (Impact Level (IL)-4 e-mail), Microsoft 
(MS) Teams, Mattermost, Jira, Jira Align, and Confluence. 
2.1.3 The Contractor shall utilize government-furnished common services identified within the 
current Service Description Document managed via the Space C2 Configuration 
Management Board (CMB). Exceptions to use of specified common services shall be 
approved by the Government. 
2.1.4 The Contractor shall maintain awareness of the Space C2 Development Teams 
implementation of a Development, Security, and Operations (DevSecOps) approach as 
managed by the Space C2 CMB. 
2.1.5 The Contractor shall proactively support collaborative root cause analysis and 
incorporate results in future processes, tooling, instrumentation, procedural changes, 
and/or software development to minimize reoccurrence of cyber, operational, and/or 
development disruptions. 
2.1.6 The Contractor shall provide contract status information for SPO management purposes.  
This includes SPO level reviews, executive reviews, independent program reviews and 
assessments, inspections, milestone events, budget excursions, and user conferences. 
2.1.7 The Contractor shall define conditions and process in writing for notifying the SPO of 
significant events to include security violations, cyber/network intrusions, criminal 
investigations, adverse financial and schedule information, and mishap reports regarding 
hardware or personnel. The contractor shall report significant events to the Government 
Lead, or their designee, within 24 hours of the event.  
2.1.8 The Contractor shall notify the Government Lead, or their designee, of Government 
Senior Leadership or other stakeholder program visits as well as program media</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2: BUSINESS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1. Executive Summary</w:t>
      </w:r>
    </w:p>
    <w:p>
      <w:pPr>
        <w:spacing w:after="120"/>
      </w:pPr>
      <w:r>
        <w:rPr>
          <w:i/>
          <w:iCs/>
          <w:color w:val="404040"/>
          <w:sz w:val="20"/>
          <w:szCs w:val="20"/>
        </w:rPr>
        <w:t xml:space="preserve">High-level overview demonstrating understanding and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2. Technical Approach</w:t>
      </w:r>
    </w:p>
    <w:p>
      <w:pPr>
        <w:spacing w:after="120"/>
      </w:pPr>
      <w:r>
        <w:rPr>
          <w:i/>
          <w:iCs/>
          <w:color w:val="404040"/>
          <w:sz w:val="20"/>
          <w:szCs w:val="20"/>
        </w:rPr>
        <w:t xml:space="preserve">Detailed methodology and solution design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3. Management Approach</w:t>
      </w:r>
    </w:p>
    <w:p>
      <w:pPr>
        <w:spacing w:after="120"/>
      </w:pPr>
      <w:r>
        <w:rPr>
          <w:i/>
          <w:iCs/>
          <w:color w:val="404040"/>
          <w:sz w:val="20"/>
          <w:szCs w:val="20"/>
        </w:rPr>
        <w:t xml:space="preserve">Project management, staffing, quality assurance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4. Past Performance</w:t>
      </w:r>
    </w:p>
    <w:p>
      <w:pPr>
        <w:spacing w:after="120"/>
      </w:pPr>
      <w:r>
        <w:rPr>
          <w:i/>
          <w:iCs/>
          <w:color w:val="404040"/>
          <w:sz w:val="20"/>
          <w:szCs w:val="20"/>
        </w:rPr>
        <w:t xml:space="preserve">Relevant experience and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5. Staffing Plan</w:t>
      </w:r>
    </w:p>
    <w:p>
      <w:pPr>
        <w:spacing w:after="120"/>
      </w:pPr>
      <w:r>
        <w:rPr>
          <w:i/>
          <w:iCs/>
          <w:color w:val="404040"/>
          <w:sz w:val="20"/>
          <w:szCs w:val="20"/>
        </w:rPr>
        <w:t xml:space="preserve">Key personnel qualifications and org chart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1"/>
        <w:pageBreakBefore/>
      </w:pPr>
      <w:r>
        <w:t xml:space="preserve">VOLUME 3: CONTRACT DOCUMENTATION VOLUME</w:t>
      </w:r>
    </w:p>
    <w:p>
      <w:pPr>
        <w:spacing w:after="120"/>
      </w:pPr>
      <w:r>
        <w:rPr>
          <w:b/>
          <w:bCs/>
          <w:sz w:val="22"/>
          <w:szCs w:val="22"/>
        </w:rPr>
        <w:t xml:space="preserve">Page Limit: </w:t>
      </w:r>
      <w:r>
        <w:rPr>
          <w:color w:val="C00000"/>
          <w:sz w:val="22"/>
          <w:szCs w:val="22"/>
        </w:rPr>
        <w:t xml:space="preserve">No limit specified</w:t>
      </w:r>
    </w:p>
    <w:p>
      <w:pPr>
        <w:pStyle w:val="Heading2"/>
      </w:pPr>
      <w:r>
        <w:t xml:space="preserve">V3-FORMS. Mandatory Forms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V3-CERTS. Certifications and Representations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FAR 52.204-7 Online Representations</w:t>
            </w:r>
          </w:p>
          <w:p>
            <w:pPr>
              <w:pStyle w:val="ListParagraph"/>
              <w:numPr>
                <w:ilvl w:val="0"/>
                <w:numId w:val="2"/>
              </w:numPr>
            </w:pPr>
            <w:r>
              <w:rPr>
                <w:i w:val="false"/>
                <w:iCs w:val="false"/>
                <w:color w:val="000000"/>
                <w:sz w:val="20"/>
                <w:szCs w:val="20"/>
              </w:rPr>
              <w:t xml:space="preserve">Agency-specific certifications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3: CONTRACT DOCUMENTATION</w:t>
      </w:r>
    </w:p>
    <w:p>
      <w:pPr>
        <w:pBdr>
          <w:left w:val="single" w:color="C00000" w:sz="12"/>
        </w:pBdr>
        <w:shd w:fill="FCE4D6" w:val="clear"/>
        <w:spacing w:after="120"/>
        <w:ind w:left="180"/>
      </w:pPr>
      <w:r>
        <w:rPr>
          <w:b/>
          <w:bCs/>
          <w:color w:val="C00000"/>
          <w:sz w:val="20"/>
          <w:szCs w:val="20"/>
        </w:rPr>
        <w:t xml:space="preserve">PASS/FAIL: All items in this volume are mandatory. Missing or incomplete documents may result in proposal rejection.</w:t>
      </w:r>
    </w:p>
    <w:p>
      <w:pPr>
        <w:pStyle w:val="Heading2"/>
      </w:pPr>
      <w:r>
        <w:t xml:space="preserve">Mandatory Forms and Certifications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000"/>
        <w:gridCol w:w="1600"/>
        <w:gridCol w:w="1060"/>
      </w:tblGrid>
      <w:tr>
        <w:trPr>
          <w:tblHeader/>
        </w:trPr>
        <w:tc>
          <w:tcPr>
            <w:tcW w:type="dxa" w:w="500"/>
            <w:tcBorders>
              <w:top w:val="single" w:color="666666" w:sz="1"/>
              <w:left w:val="single" w:color="666666" w:sz="1"/>
              <w:bottom w:val="single" w:color="666666" w:sz="1"/>
              <w:right w:val="single" w:color="666666" w:sz="1"/>
            </w:tcBorders>
            <w:shd w:fill="D5D5D5" w:val="clear"/>
          </w:tcPr>
          <w:p>
            <w:pPr>
              <w:jc w:val="center"/>
            </w:pPr>
            <w:r>
              <w:rPr>
                <w:b/>
                <w:bCs/>
                <w:sz w:val="20"/>
                <w:szCs w:val="20"/>
              </w:rPr>
              <w:t xml:space="preserve">✓</w:t>
            </w:r>
          </w:p>
        </w:tc>
        <w:tc>
          <w:tcPr>
            <w:tcW w:type="dxa" w:w="2200"/>
            <w:tcBorders>
              <w:top w:val="single" w:color="666666" w:sz="1"/>
              <w:left w:val="single" w:color="666666" w:sz="1"/>
              <w:bottom w:val="single" w:color="666666" w:sz="1"/>
              <w:right w:val="single" w:color="666666" w:sz="1"/>
            </w:tcBorders>
            <w:shd w:fill="D5D5D5" w:val="clear"/>
          </w:tcPr>
          <w:p>
            <w:r>
              <w:rPr>
                <w:b/>
                <w:bCs/>
                <w:sz w:val="20"/>
                <w:szCs w:val="20"/>
              </w:rPr>
              <w:t xml:space="preserve">Document</w:t>
            </w:r>
          </w:p>
        </w:tc>
        <w:tc>
          <w:tcPr>
            <w:tcW w:type="dxa" w:w="4000"/>
            <w:tcBorders>
              <w:top w:val="single" w:color="666666" w:sz="1"/>
              <w:left w:val="single" w:color="666666" w:sz="1"/>
              <w:bottom w:val="single" w:color="666666" w:sz="1"/>
              <w:right w:val="single" w:color="666666" w:sz="1"/>
            </w:tcBorders>
            <w:shd w:fill="D5D5D5" w:val="clear"/>
          </w:tcPr>
          <w:p>
            <w:r>
              <w:rPr>
                <w:b/>
                <w:bCs/>
                <w:sz w:val="20"/>
                <w:szCs w:val="20"/>
              </w:rPr>
              <w:t xml:space="preserve">Description / Instructions</w:t>
            </w:r>
          </w:p>
        </w:tc>
        <w:tc>
          <w:tcPr>
            <w:tcW w:type="dxa" w:w="1600"/>
            <w:tcBorders>
              <w:top w:val="single" w:color="666666" w:sz="1"/>
              <w:left w:val="single" w:color="666666" w:sz="1"/>
              <w:bottom w:val="single" w:color="666666" w:sz="1"/>
              <w:right w:val="single" w:color="666666" w:sz="1"/>
            </w:tcBorders>
            <w:shd w:fill="D5D5D5" w:val="clear"/>
          </w:tcPr>
          <w:p>
            <w:r>
              <w:rPr>
                <w:b/>
                <w:bCs/>
                <w:sz w:val="20"/>
                <w:szCs w:val="20"/>
              </w:rPr>
              <w:t xml:space="preserve">Reference</w:t>
            </w:r>
          </w:p>
        </w:tc>
        <w:tc>
          <w:tcPr>
            <w:tcW w:type="dxa" w:w="1060"/>
            <w:tcBorders>
              <w:top w:val="single" w:color="666666" w:sz="1"/>
              <w:left w:val="single" w:color="666666" w:sz="1"/>
              <w:bottom w:val="single" w:color="666666" w:sz="1"/>
              <w:right w:val="single" w:color="666666" w:sz="1"/>
            </w:tcBorders>
            <w:shd w:fill="D5D5D5" w:val="clear"/>
          </w:tcPr>
          <w:p>
            <w:r>
              <w:rPr>
                <w:b/>
                <w:bCs/>
                <w:sz w:val="20"/>
                <w:szCs w:val="20"/>
              </w:rPr>
              <w:t xml:space="preserve">Status</w:t>
            </w:r>
          </w:p>
        </w:tc>
      </w:tr>
      <w:tr>
        <w:tc>
          <w:tcPr>
            <w:tcW w:type="dxa" w:w="500"/>
            <w:tcBorders>
              <w:top w:val="single" w:color="666666" w:sz="1"/>
              <w:left w:val="single" w:color="666666" w:sz="1"/>
              <w:bottom w:val="single" w:color="666666" w:sz="1"/>
              <w:right w:val="single" w:color="666666" w:sz="1"/>
            </w:tcBorders>
          </w:tcPr>
          <w:p>
            <w:pPr>
              <w:jc w:val="center"/>
            </w:pPr>
            <w:r>
              <w:rPr>
                <w:sz w:val="24"/>
                <w:szCs w:val="24"/>
              </w:rPr>
              <w:t xml:space="preserve">☐</w:t>
            </w:r>
          </w:p>
        </w:tc>
        <w:tc>
          <w:tcPr>
            <w:tcW w:type="dxa" w:w="2200"/>
            <w:tcBorders>
              <w:top w:val="single" w:color="666666" w:sz="1"/>
              <w:left w:val="single" w:color="666666" w:sz="1"/>
              <w:bottom w:val="single" w:color="666666" w:sz="1"/>
              <w:right w:val="single" w:color="666666" w:sz="1"/>
            </w:tcBorders>
          </w:tcPr>
          <w:p>
            <w:r>
              <w:rPr>
                <w:b/>
                <w:bCs/>
                <w:sz w:val="18"/>
                <w:szCs w:val="18"/>
              </w:rPr>
              <w:t xml:space="preserve">Representations and Certifications</w:t>
            </w:r>
            <w:r>
              <w:rPr>
                <w:color w:val="C00000"/>
                <w:sz w:val="16"/>
                <w:szCs w:val="16"/>
              </w:rPr>
              <w:t xml:space="preserve"> [P/F]</w:t>
            </w:r>
          </w:p>
        </w:tc>
        <w:tc>
          <w:tcPr>
            <w:tcW w:type="dxa" w:w="4000"/>
            <w:tcBorders>
              <w:top w:val="single" w:color="666666" w:sz="1"/>
              <w:left w:val="single" w:color="666666" w:sz="1"/>
              <w:bottom w:val="single" w:color="666666" w:sz="1"/>
              <w:right w:val="single" w:color="666666" w:sz="1"/>
            </w:tcBorders>
          </w:tcPr>
          <w:p>
            <w:r>
              <w:rPr>
                <w:sz w:val="18"/>
                <w:szCs w:val="18"/>
              </w:rPr>
              <w:t xml:space="preserve">Completed certifications per solicitation</w:t>
            </w:r>
          </w:p>
        </w:tc>
        <w:tc>
          <w:tcPr>
            <w:tcW w:type="dxa" w:w="1600"/>
            <w:tcBorders>
              <w:top w:val="single" w:color="666666" w:sz="1"/>
              <w:left w:val="single" w:color="666666" w:sz="1"/>
              <w:bottom w:val="single" w:color="666666" w:sz="1"/>
              <w:right w:val="single" w:color="666666" w:sz="1"/>
            </w:tcBorders>
          </w:tcPr>
          <w:p>
            <w:r>
              <w:rPr>
                <w:color w:val="0070C0"/>
                <w:sz w:val="18"/>
                <w:szCs w:val="18"/>
              </w:rPr>
            </w:r>
          </w:p>
        </w:tc>
        <w:tc>
          <w:tcPr>
            <w:tcW w:type="dxa" w:w="1060"/>
            <w:tcBorders>
              <w:top w:val="single" w:color="666666" w:sz="1"/>
              <w:left w:val="single" w:color="666666" w:sz="1"/>
              <w:bottom w:val="single" w:color="666666" w:sz="1"/>
              <w:right w:val="single" w:color="666666" w:sz="1"/>
            </w:tcBorders>
          </w:tcPr>
          <w:p>
            <w:r>
              <w:rPr>
                <w:i/>
                <w:iCs/>
                <w:color w:val="404040"/>
                <w:sz w:val="16"/>
                <w:szCs w:val="16"/>
              </w:rPr>
              <w:t xml:space="preserve">Pending</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VOLUME 3 COMPLETION CHECKLIST</w:t>
            </w:r>
          </w:p>
          <w:p>
            <w:pPr>
              <w:pStyle w:val="ListParagraph"/>
              <w:numPr>
                <w:ilvl w:val="0"/>
                <w:numId w:val="2"/>
              </w:numPr>
            </w:pPr>
            <w:r>
              <w:rPr>
                <w:i w:val="false"/>
                <w:iCs w:val="false"/>
                <w:color w:val="000000"/>
                <w:sz w:val="20"/>
                <w:szCs w:val="20"/>
              </w:rPr>
              <w:t xml:space="preserve">☐ SF1449 - Completed with all required fields (Blocks 12-17)</w:t>
            </w:r>
          </w:p>
          <w:p>
            <w:pPr>
              <w:pStyle w:val="ListParagraph"/>
              <w:numPr>
                <w:ilvl w:val="0"/>
                <w:numId w:val="2"/>
              </w:numPr>
            </w:pPr>
            <w:r>
              <w:rPr>
                <w:i w:val="false"/>
                <w:iCs w:val="false"/>
                <w:color w:val="000000"/>
                <w:sz w:val="20"/>
                <w:szCs w:val="20"/>
              </w:rPr>
              <w:t xml:space="preserve">☐ Online Representations - Verify SAM.gov registration is current</w:t>
            </w:r>
          </w:p>
          <w:p>
            <w:pPr>
              <w:pStyle w:val="ListParagraph"/>
              <w:numPr>
                <w:ilvl w:val="0"/>
                <w:numId w:val="2"/>
              </w:numPr>
            </w:pPr>
            <w:r>
              <w:rPr>
                <w:i w:val="false"/>
                <w:iCs w:val="false"/>
                <w:color w:val="000000"/>
                <w:sz w:val="20"/>
                <w:szCs w:val="20"/>
              </w:rPr>
              <w:t xml:space="preserve">☐ FAR 52.204-7 - Submit evidence of registration</w:t>
            </w:r>
          </w:p>
          <w:p>
            <w:pPr>
              <w:pStyle w:val="ListParagraph"/>
              <w:numPr>
                <w:ilvl w:val="0"/>
                <w:numId w:val="2"/>
              </w:numPr>
            </w:pPr>
            <w:r>
              <w:rPr>
                <w:i w:val="false"/>
                <w:iCs w:val="false"/>
                <w:color w:val="000000"/>
                <w:sz w:val="20"/>
                <w:szCs w:val="20"/>
              </w:rPr>
              <w:t xml:space="preserve">☐ Security Forms - DD-254 if applicable (verify classification requirements)</w:t>
            </w:r>
          </w:p>
          <w:p>
            <w:pPr>
              <w:pStyle w:val="ListParagraph"/>
              <w:numPr>
                <w:ilvl w:val="0"/>
                <w:numId w:val="2"/>
              </w:numPr>
            </w:pPr>
            <w:r>
              <w:rPr>
                <w:i w:val="false"/>
                <w:iCs w:val="false"/>
                <w:color w:val="000000"/>
                <w:sz w:val="20"/>
                <w:szCs w:val="20"/>
              </w:rPr>
              <w:t xml:space="preserve">☐ Certifications - All agency-specific certifications completed</w:t>
            </w:r>
          </w:p>
          <w:p>
            <w:pPr>
              <w:pStyle w:val="ListParagraph"/>
              <w:numPr>
                <w:ilvl w:val="0"/>
                <w:numId w:val="2"/>
              </w:numPr>
            </w:pPr>
            <w:r>
              <w:rPr>
                <w:i w:val="false"/>
                <w:iCs w:val="false"/>
                <w:color w:val="000000"/>
                <w:sz w:val="20"/>
                <w:szCs w:val="20"/>
              </w:rPr>
              <w:t xml:space="preserve">☐ Subcontracting Plan - Required if over simplified acquisition threshold</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16"/>
        <w:szCs w:val="16"/>
      </w:rPr>
      <w:t xml:space="preserve">[Your Company Name] PROPRIETARY -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04040"/>
        <w:sz w:val="18"/>
        <w:szCs w:val="18"/>
      </w:rPr>
      <w:t xml:space="preserve">procedures in providing written objection to the use of non-government advisors. - ANNOTATED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b/>
      <w:bCs/>
      <w:color w:val="000000"/>
      <w:sz w:val="48"/>
      <w:szCs w:val="48"/>
      <w:rFonts w:ascii="Arial" w:cs="Arial" w:eastAsia="Arial" w:hAnsi="Arial"/>
    </w:rPr>
  </w:style>
  <w:style w:type="paragraph" w:styleId="Heading1">
    <w:name w:val="Heading 1"/>
    <w:basedOn w:val="Normal"/>
    <w:next w:val="Normal"/>
    <w:qFormat/>
    <w:pPr>
      <w:spacing w:before="360" w:after="120"/>
      <w:outlineLvl w:val="0"/>
    </w:pPr>
    <w:rPr>
      <w:b/>
      <w:bCs/>
      <w:color w:val="000000"/>
      <w:sz w:val="32"/>
      <w:szCs w:val="32"/>
      <w:rFonts w:ascii="Arial" w:cs="Arial" w:eastAsia="Arial" w:hAnsi="Arial"/>
    </w:rPr>
  </w:style>
  <w:style w:type="paragraph" w:styleId="Heading2">
    <w:name w:val="Heading 2"/>
    <w:basedOn w:val="Normal"/>
    <w:next w:val="Normal"/>
    <w:qFormat/>
    <w:pPr>
      <w:spacing w:before="240" w:after="120"/>
      <w:outlineLvl w:val="1"/>
    </w:pPr>
    <w:rPr>
      <w:b/>
      <w:bCs/>
      <w:color w:val="404040"/>
      <w:sz w:val="26"/>
      <w:szCs w:val="26"/>
      <w:rFonts w:ascii="Arial" w:cs="Arial" w:eastAsia="Arial" w:hAnsi="Arial"/>
    </w:rPr>
  </w:style>
  <w:style w:type="paragraph" w:styleId="Heading3">
    <w:name w:val="Heading 3"/>
    <w:basedOn w:val="Normal"/>
    <w:next w:val="Normal"/>
    <w:qFormat/>
    <w:pPr>
      <w:spacing w:before="200" w:after="100"/>
      <w:outlineLvl w:val="2"/>
    </w:pPr>
    <w:rPr>
      <w:b/>
      <w:bCs/>
      <w:color w:val="404040"/>
      <w:sz w:val="24"/>
      <w:szCs w:val="24"/>
      <w:rFonts w:ascii="Arial" w:cs="Arial" w:eastAsia="Arial" w:hAnsi="Arial"/>
    </w:rPr>
  </w:style>
  <w:style w:type="paragraph" w:styleId="AnnotationLabel">
    <w:name w:val="Annotation Label"/>
    <w:basedOn w:val="Normal"/>
    <w:pPr>
      <w:spacing w:before="60" w:after="40"/>
    </w:pPr>
    <w:rPr>
      <w:b/>
      <w:bCs/>
      <w:sz w:val="18"/>
      <w:szCs w:val="18"/>
      <w:smallCaps/>
      <w:rFonts w:ascii="Arial" w:cs="Arial" w:eastAsia="Arial" w:hAnsi="Arial"/>
    </w:rPr>
  </w:style>
  <w:style w:type="paragraph" w:styleId="RequirementText">
    <w:name w:val="Requirement Text"/>
    <w:basedOn w:val="Normal"/>
    <w:pPr>
      <w:spacing w:before="40" w:after="40"/>
      <w:ind w:left="360"/>
    </w:pPr>
    <w:rPr>
      <w:i/>
      <w:iCs/>
      <w:sz w:val="20"/>
      <w:szCs w:val="20"/>
      <w:rFonts w:ascii="Arial" w:cs="Arial" w:eastAsia="Arial" w:hAnsi="Arial"/>
    </w:rPr>
  </w:style>
  <w:style w:type="paragraph" w:styleId="WriterGuidance">
    <w:name w:val="Writer Guidance"/>
    <w:basedOn w:val="Normal"/>
    <w:pPr>
      <w:spacing w:before="80" w:after="80"/>
      <w:ind w:left="360"/>
    </w:pPr>
    <w:rPr>
      <w:color w:val="404040"/>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2025-12-14T16:39:52.168Z</dcterms:created>
  <dcterms:modified xsi:type="dcterms:W3CDTF">2025-12-14T16:39:52.168Z</dcterms:modified>
</cp:coreProperties>
</file>

<file path=docProps/custom.xml><?xml version="1.0" encoding="utf-8"?>
<Properties xmlns="http://schemas.openxmlformats.org/officeDocument/2006/custom-properties" xmlns:vt="http://schemas.openxmlformats.org/officeDocument/2006/docPropsVTypes"/>
</file>