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Solicitation - FA880625RB003</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p>
            <w:pPr>
              <w:pStyle w:val="ListParagraph"/>
              <w:numPr>
                <w:ilvl w:val="0"/>
                <w:numId w:val="2"/>
              </w:numPr>
            </w:pPr>
            <w:r>
              <w:rPr>
                <w:i w:val="false"/>
                <w:iCs w:val="false"/>
                <w:color w:val="000000"/>
                <w:sz w:val="20"/>
                <w:szCs w:val="20"/>
              </w:rPr>
              <w:t xml:space="preserve">[REQ] This includes, but is not limited to, changes to product resourcing, 
security, interfaces (i.e., connections, data, messaging), commercial tooling, and any 
major product revisions. 
2.2.5 The Contractor shall provide weekly activity reports summarizing key milestones, 
activities, and operational benefits (e.g., removed X-hours of manual tasks with 
automated function).   
2.3 Meeting Support and Travel 
2.3.1 The Contractor shall conduct a Kick-off Meeting within 30 days of contract award to 
include, at a minimum: special topics, roadmap review, and risk and mitigation plans.  
Meeting read ahead materials shall be made available NLT 7 days prior to meeting. 
2.3.2 The Contractor shall develop post-meeting minutes and respond to post-meeting action 
items as requested by the SPO within 24 hours of the meeting ending. 
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 
2.3.4 The Contractor shall develop post-PMR minutes and respond to post-PMR action items. 
2.3.5 The Contractor shall obtain written approval by the Government Lead, or their designee, 
ahead of travel that is already authorized in the contract. 
DRAFT</w:t>
            </w:r>
          </w:p>
          <w:p>
            <w:pPr>
              <w:pStyle w:val="ListParagraph"/>
              <w:numPr>
                <w:ilvl w:val="0"/>
                <w:numId w:val="2"/>
              </w:numPr>
            </w:pPr>
            <w:r>
              <w:rPr>
                <w:i w:val="false"/>
                <w:iCs w:val="false"/>
                <w:color w:val="000000"/>
                <w:sz w:val="20"/>
                <w:szCs w:val="20"/>
              </w:rPr>
              <w:t xml:space="preserve">[REQ] The contractor shall report events within 48 hours of identification or within 
24 hours of the event, whichever comes sooner.  
2.1.9 The Contractor shall establish necessary subcontracts and ensure the flow down of 
Intellectual Property assertions, Program Management requirements, and Personnel and 
Staffing requirements. The Contractor shall ensure that subcontractor data available to 
the Contractor is also available to the Government (to be delivered in the DAL). 
DRAFT</w:t>
            </w:r>
          </w:p>
          <w:p>
            <w:pPr>
              <w:pStyle w:val="ListParagraph"/>
              <w:numPr>
                <w:ilvl w:val="0"/>
                <w:numId w:val="2"/>
              </w:numPr>
            </w:pPr>
            <w:r>
              <w:rPr>
                <w:i w:val="false"/>
                <w:iCs w:val="false"/>
                <w:color w:val="000000"/>
                <w:sz w:val="20"/>
                <w:szCs w:val="20"/>
              </w:rPr>
              <w:t xml:space="preserve">[REQ] 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Commercial-Off-The-Shelf (COTS) and Government-Off-The-
Shelf (GOTS) software.   
DRAFT</w:t>
            </w:r>
          </w:p>
          <w:p>
            <w:pPr>
              <w:pStyle w:val="ListParagraph"/>
              <w:numPr>
                <w:ilvl w:val="0"/>
                <w:numId w:val="2"/>
              </w:numPr>
            </w:pPr>
            <w:r>
              <w:rPr>
                <w:i w:val="false"/>
                <w:iCs w:val="false"/>
                <w:color w:val="000000"/>
                <w:sz w:val="20"/>
                <w:szCs w:val="20"/>
              </w:rPr>
              <w:t xml:space="preserve">[REQ] 4.3 24/7 Software Product Monitoring  
4.3.1 The Contractor shall provide 24/7 on-site support for Space C2 software capabilities. 
This includes monitoring at Secret for on-prem and cloud-hosted (Impact Level-6) 
software applications and will include monitoring at TS/SCI for cloud-hosted software 
applications in the future. 
4.3.2 The Contractor shall resolve basic user system access issues identified in Section 4.2.  
4.3.3 The Contractor shall track system status and trends from the provided dashboards to 
predict and restore system operational capabilities in a Government approved report.  
4.3.4 The Contractor shall execute workflows to inform and track Tier 2 support regarding a 
failure mode or degradation of service pertaining to that system. In the case of unclear 
DRAFT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Solicitation - FA880625RB003 -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2025-12-14T22:37:46.703Z</dcterms:created>
  <dcterms:modified xsi:type="dcterms:W3CDTF">2025-12-14T22:37:46.704Z</dcterms:modified>
</cp:coreProperties>
</file>

<file path=docProps/custom.xml><?xml version="1.0" encoding="utf-8"?>
<Properties xmlns="http://schemas.openxmlformats.org/officeDocument/2006/custom-properties" xmlns:vt="http://schemas.openxmlformats.org/officeDocument/2006/docPropsVTypes"/>
</file>