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ANNOTATED PROPOSAL OUTLINE</w:t>
      </w:r>
    </w:p>
    <w:p>
      <w:pPr>
        <w:spacing w:before="400" w:after="400"/>
        <w:jc w:val="center"/>
      </w:pPr>
      <w:r>
        <w:rPr>
          <w:b/>
          <w:bCs/>
          <w:color w:val="000000"/>
          <w:sz w:val="36"/>
          <w:szCs w:val="36"/>
        </w:rPr>
        <w:t xml:space="preserve">Proposal Response to RFP-092C7508</w:t>
      </w:r>
    </w:p>
    <w:p>
      <w:pPr>
        <w:spacing w:after="200"/>
        <w:jc w:val="center"/>
      </w:pPr>
      <w:r>
        <w:rPr>
          <w:sz w:val="24"/>
          <w:szCs w:val="24"/>
        </w:rPr>
        <w:t xml:space="preserve">Solicitation Number: RFP-092C7508</w:t>
      </w:r>
    </w:p>
    <w:p>
      <w:pPr>
        <w:spacing w:after="600"/>
        <w:jc w:val="center"/>
      </w:pPr>
      <w:r>
        <w:rPr>
          <w:b/>
          <w:bCs/>
          <w:color w:val="C00000"/>
          <w:sz w:val="24"/>
          <w:szCs w:val="24"/>
        </w:rPr>
        <w:t xml:space="preserve">Proposal Due: 3 February 2024</w:t>
      </w:r>
    </w:p>
    <w:p>
      <w:pPr>
        <w:spacing w:before="800"/>
        <w:jc w:val="center"/>
      </w:pPr>
      <w:r>
        <w:rPr>
          <w:sz w:val="22"/>
          <w:szCs w:val="22"/>
        </w:rPr>
        <w:t xml:space="preserve">Prepared by: [Your Company Name]</w:t>
      </w:r>
    </w:p>
    <w:p>
      <w:pPr>
        <w:pBdr>
          <w:top w:val="single" w:color="000000" w:sz="6"/>
        </w:pBdr>
        <w:spacing w:before="1200" w:after="400"/>
        <w:jc w:val="center"/>
      </w:pPr>
      <w:r>
        <w:rPr>
          <w:i/>
          <w:iCs/>
          <w:sz w:val="20"/>
          <w:szCs w:val="20"/>
        </w:rPr>
        <w:t xml:space="preserve">This annotated outline serves as the master template for all proposal content development. </w:t>
      </w:r>
      <w:r>
        <w:rPr>
          <w:i/>
          <w:iCs/>
          <w:sz w:val="20"/>
          <w:szCs w:val="20"/>
        </w:rPr>
        <w:t xml:space="preserve">All writers must address every annotated requirement and follow the page allocations specified.</w:t>
      </w:r>
    </w:p>
    <w:p>
      <w:r>
        <w:br w:type="page"/>
      </w:r>
    </w:p>
    <w:p>
      <w:pPr>
        <w:pStyle w:val="Heading1"/>
      </w:pPr>
      <w:r>
        <w:t xml:space="preserve">SUBMISSION &amp; FORMAT REQUIREMENTS</w:t>
      </w:r>
    </w:p>
    <w:p>
      <w:pPr>
        <w:spacing w:after="200"/>
      </w:pPr>
      <w:r>
        <w:rPr>
          <w:b/>
          <w:bCs/>
          <w:color w:val="C00000"/>
        </w:rPr>
        <w:t xml:space="preserve">CRITICAL: Non-compliance with format requirements may result in proposal disqualification.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FC000" w:val="clear"/>
          </w:tcPr>
          <w:p>
            <w:r>
              <w:rPr>
                <w:b/>
                <w:bCs/>
                <w:sz w:val="22"/>
                <w:szCs w:val="22"/>
              </w:rPr>
              <w:t xml:space="preserve">Due Date</w:t>
            </w:r>
          </w:p>
        </w:tc>
        <w:tc>
          <w:tcPr>
            <w:tcW w:type="dxa" w:w="6360"/>
            <w:tcBorders>
              <w:top w:val="single" w:color="CCCCCC" w:sz="1"/>
              <w:left w:val="single" w:color="CCCCCC" w:sz="1"/>
              <w:bottom w:val="single" w:color="CCCCCC" w:sz="1"/>
              <w:right w:val="single" w:color="CCCCCC" w:sz="1"/>
            </w:tcBorders>
            <w:shd w:fill="FFC000" w:val="clear"/>
          </w:tcPr>
          <w:p>
            <w:r>
              <w:rPr>
                <w:color w:val="000000"/>
                <w:sz w:val="22"/>
                <w:szCs w:val="22"/>
              </w:rPr>
              <w:t xml:space="preserve">3 February 2024</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Submission Method</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Electronic submission</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Total Page Limit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See individual volumes</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Times 
New Roman</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Font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12 pt</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Margins</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Line Spacing</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Verify in RFP</w:t>
            </w:r>
          </w:p>
        </w:tc>
      </w:tr>
      <w:tr>
        <w:tc>
          <w:tcPr>
            <w:tcW w:type="dxa" w:w="3000"/>
            <w:tcBorders>
              <w:top w:val="single" w:color="CCCCCC" w:sz="1"/>
              <w:left w:val="single" w:color="CCCCCC" w:sz="1"/>
              <w:bottom w:val="single" w:color="CCCCCC" w:sz="1"/>
              <w:right w:val="single" w:color="CCCCCC" w:sz="1"/>
            </w:tcBorders>
          </w:tcPr>
          <w:p>
            <w:r>
              <w:rPr>
                <w:b/>
                <w:bCs/>
                <w:sz w:val="22"/>
                <w:szCs w:val="22"/>
              </w:rPr>
              <w:t xml:space="preserve">Page Size</w:t>
            </w:r>
          </w:p>
        </w:tc>
        <w:tc>
          <w:tcPr>
            <w:tcW w:type="dxa" w:w="6360"/>
            <w:tcBorders>
              <w:top w:val="single" w:color="CCCCCC" w:sz="1"/>
              <w:left w:val="single" w:color="CCCCCC" w:sz="1"/>
              <w:bottom w:val="single" w:color="CCCCCC" w:sz="1"/>
              <w:right w:val="single" w:color="CCCCCC" w:sz="1"/>
            </w:tcBorders>
          </w:tcPr>
          <w:p>
            <w:r>
              <w:rPr>
                <w:color w:val="000000"/>
                <w:sz w:val="22"/>
                <w:szCs w:val="22"/>
              </w:rPr>
              <w:t xml:space="preserve">8.5" x 11" (Letter)</w:t>
            </w:r>
          </w:p>
        </w:tc>
      </w:tr>
    </w:tbl>
    <w:p>
      <w:pPr>
        <w:spacing w:after="200"/>
      </w:pPr>
    </w:p>
    <w:p>
      <w:r>
        <w:br w:type="page"/>
      </w:r>
    </w:p>
    <w:p>
      <w:pPr>
        <w:pStyle w:val="Heading2"/>
      </w:pPr>
      <w:r>
        <w:t xml:space="preserve">Annotation Color Code Legend</w:t>
      </w:r>
    </w:p>
    <w:p>
      <w:pPr>
        <w:spacing w:after="120"/>
      </w:pPr>
      <w:r>
        <w:rPr>
          <w:sz w:val="20"/>
          <w:szCs w:val="20"/>
        </w:rPr>
        <w:t xml:space="preserve">Requirements are color-coded by source to help writers understand what the customer is asking for (Section C), how to submit it (Section L), and how it will be scored (Section M).</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D5D5D5" w:val="clear"/>
          </w:tcPr>
          <w:p>
            <w:r>
              <w:rPr>
                <w:b/>
                <w:bCs/>
                <w:sz w:val="20"/>
                <w:szCs w:val="20"/>
              </w:rPr>
              <w:t xml:space="preserve">Color</w:t>
            </w:r>
          </w:p>
        </w:tc>
        <w:tc>
          <w:tcPr>
            <w:tcW w:type="dxa" w:w="3000"/>
            <w:tcBorders>
              <w:top w:val="single" w:color="CCCCCC" w:sz="1"/>
              <w:left w:val="single" w:color="CCCCCC" w:sz="1"/>
              <w:bottom w:val="single" w:color="CCCCCC" w:sz="1"/>
              <w:right w:val="single" w:color="CCCCCC" w:sz="1"/>
            </w:tcBorders>
            <w:shd w:fill="D5D5D5" w:val="clear"/>
          </w:tcPr>
          <w:p>
            <w:r>
              <w:rPr>
                <w:b/>
                <w:bCs/>
                <w:sz w:val="20"/>
                <w:szCs w:val="20"/>
              </w:rPr>
              <w:t xml:space="preserve">Source</w:t>
            </w:r>
          </w:p>
        </w:tc>
        <w:tc>
          <w:tcPr>
            <w:tcW w:type="dxa" w:w="4560"/>
            <w:tcBorders>
              <w:top w:val="single" w:color="CCCCCC" w:sz="1"/>
              <w:left w:val="single" w:color="CCCCCC" w:sz="1"/>
              <w:bottom w:val="single" w:color="CCCCCC" w:sz="1"/>
              <w:right w:val="single" w:color="CCCCCC" w:sz="1"/>
            </w:tcBorders>
            <w:shd w:fill="D5D5D5" w:val="clear"/>
          </w:tcPr>
          <w:p>
            <w:r>
              <w:rPr>
                <w:b/>
                <w:bCs/>
                <w:sz w:val="20"/>
                <w:szCs w:val="20"/>
              </w:rPr>
              <w:t xml:space="preserve">Purpose</w:t>
            </w:r>
          </w:p>
        </w:tc>
      </w:tr>
      <w:tr>
        <w:tc>
          <w:tcPr>
            <w:tcW w:type="dxa" w:w="1800"/>
            <w:tcBorders>
              <w:top w:val="single" w:color="CCCCCC" w:sz="1"/>
              <w:left w:val="single" w:color="CCCCCC" w:sz="1"/>
              <w:bottom w:val="single" w:color="CCCCCC" w:sz="1"/>
              <w:right w:val="single" w:color="CCCCCC" w:sz="1"/>
            </w:tcBorders>
          </w:tcPr>
          <w:p>
            <w:r>
              <w:rPr>
                <w:b/>
                <w:bCs/>
                <w:color w:val="C00000"/>
                <w:sz w:val="20"/>
                <w:szCs w:val="20"/>
              </w:rPr>
              <w:t xml:space="preserve">RED</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L (Instructions)</w:t>
            </w:r>
          </w:p>
        </w:tc>
        <w:tc>
          <w:tcPr>
            <w:tcW w:type="dxa" w:w="4560"/>
            <w:tcBorders>
              <w:top w:val="single" w:color="CCCCCC" w:sz="1"/>
              <w:left w:val="single" w:color="CCCCCC" w:sz="1"/>
              <w:bottom w:val="single" w:color="CCCCCC" w:sz="1"/>
              <w:right w:val="single" w:color="CCCCCC" w:sz="1"/>
            </w:tcBorders>
          </w:tcPr>
          <w:p>
            <w:r>
              <w:rPr>
                <w:sz w:val="20"/>
                <w:szCs w:val="20"/>
              </w:rPr>
              <w:t xml:space="preserve">How to submit - format, content, page limits</w:t>
            </w:r>
          </w:p>
        </w:tc>
      </w:tr>
      <w:tr>
        <w:tc>
          <w:tcPr>
            <w:tcW w:type="dxa" w:w="1800"/>
            <w:tcBorders>
              <w:top w:val="single" w:color="CCCCCC" w:sz="1"/>
              <w:left w:val="single" w:color="CCCCCC" w:sz="1"/>
              <w:bottom w:val="single" w:color="CCCCCC" w:sz="1"/>
              <w:right w:val="single" w:color="CCCCCC" w:sz="1"/>
            </w:tcBorders>
          </w:tcPr>
          <w:p>
            <w:r>
              <w:rPr>
                <w:b/>
                <w:bCs/>
                <w:color w:val="0070C0"/>
                <w:sz w:val="20"/>
                <w:szCs w:val="20"/>
              </w:rPr>
              <w:t xml:space="preserve">BLUE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M (Evaluation)</w:t>
            </w:r>
          </w:p>
        </w:tc>
        <w:tc>
          <w:tcPr>
            <w:tcW w:type="dxa" w:w="4560"/>
            <w:tcBorders>
              <w:top w:val="single" w:color="CCCCCC" w:sz="1"/>
              <w:left w:val="single" w:color="CCCCCC" w:sz="1"/>
              <w:bottom w:val="single" w:color="CCCCCC" w:sz="1"/>
              <w:right w:val="single" w:color="CCCCCC" w:sz="1"/>
            </w:tcBorders>
          </w:tcPr>
          <w:p>
            <w:r>
              <w:rPr>
                <w:sz w:val="20"/>
                <w:szCs w:val="20"/>
              </w:rPr>
              <w:t xml:space="preserve">How proposal will be scored - criteria, weights</w:t>
            </w:r>
          </w:p>
        </w:tc>
      </w:tr>
      <w:tr>
        <w:tc>
          <w:tcPr>
            <w:tcW w:type="dxa" w:w="1800"/>
            <w:tcBorders>
              <w:top w:val="single" w:color="CCCCCC" w:sz="1"/>
              <w:left w:val="single" w:color="CCCCCC" w:sz="1"/>
              <w:bottom w:val="single" w:color="CCCCCC" w:sz="1"/>
              <w:right w:val="single" w:color="CCCCCC" w:sz="1"/>
            </w:tcBorders>
          </w:tcPr>
          <w:p>
            <w:r>
              <w:rPr>
                <w:b/>
                <w:bCs/>
                <w:color w:val="7030A0"/>
                <w:sz w:val="20"/>
                <w:szCs w:val="20"/>
              </w:rPr>
              <w:t xml:space="preserve">PURPLE</w:t>
            </w:r>
          </w:p>
        </w:tc>
        <w:tc>
          <w:tcPr>
            <w:tcW w:type="dxa" w:w="3000"/>
            <w:tcBorders>
              <w:top w:val="single" w:color="CCCCCC" w:sz="1"/>
              <w:left w:val="single" w:color="CCCCCC" w:sz="1"/>
              <w:bottom w:val="single" w:color="CCCCCC" w:sz="1"/>
              <w:right w:val="single" w:color="CCCCCC" w:sz="1"/>
            </w:tcBorders>
          </w:tcPr>
          <w:p>
            <w:r>
              <w:rPr>
                <w:sz w:val="20"/>
                <w:szCs w:val="20"/>
              </w:rPr>
              <w:t xml:space="preserve">Section C/PWS/SOW</w:t>
            </w:r>
          </w:p>
        </w:tc>
        <w:tc>
          <w:tcPr>
            <w:tcW w:type="dxa" w:w="4560"/>
            <w:tcBorders>
              <w:top w:val="single" w:color="CCCCCC" w:sz="1"/>
              <w:left w:val="single" w:color="CCCCCC" w:sz="1"/>
              <w:bottom w:val="single" w:color="CCCCCC" w:sz="1"/>
              <w:right w:val="single" w:color="CCCCCC" w:sz="1"/>
            </w:tcBorders>
          </w:tcPr>
          <w:p>
            <w:r>
              <w:rPr>
                <w:sz w:val="20"/>
                <w:szCs w:val="20"/>
              </w:rPr>
              <w:t xml:space="preserve">What to do - technical requirements, scope</w:t>
            </w:r>
          </w:p>
        </w:tc>
      </w:tr>
      <w:tr>
        <w:tc>
          <w:tcPr>
            <w:tcW w:type="dxa" w:w="1800"/>
            <w:tcBorders>
              <w:top w:val="single" w:color="CCCCCC" w:sz="1"/>
              <w:left w:val="single" w:color="CCCCCC" w:sz="1"/>
              <w:bottom w:val="single" w:color="CCCCCC" w:sz="1"/>
              <w:right w:val="single" w:color="CCCCCC" w:sz="1"/>
            </w:tcBorders>
          </w:tcPr>
          <w:p>
            <w:r>
              <w:rPr>
                <w:b/>
                <w:bCs/>
                <w:color w:val="00B050"/>
                <w:sz w:val="20"/>
                <w:szCs w:val="20"/>
              </w:rPr>
              <w:t xml:space="preserve">GREEN</w:t>
            </w:r>
          </w:p>
        </w:tc>
        <w:tc>
          <w:tcPr>
            <w:tcW w:type="dxa" w:w="3000"/>
            <w:tcBorders>
              <w:top w:val="single" w:color="CCCCCC" w:sz="1"/>
              <w:left w:val="single" w:color="CCCCCC" w:sz="1"/>
              <w:bottom w:val="single" w:color="CCCCCC" w:sz="1"/>
              <w:right w:val="single" w:color="CCCCCC" w:sz="1"/>
            </w:tcBorders>
          </w:tcPr>
          <w:p>
            <w:r>
              <w:rPr>
                <w:sz w:val="20"/>
                <w:szCs w:val="20"/>
              </w:rPr>
              <w:t xml:space="preserve">Win Themes</w:t>
            </w:r>
          </w:p>
        </w:tc>
        <w:tc>
          <w:tcPr>
            <w:tcW w:type="dxa" w:w="4560"/>
            <w:tcBorders>
              <w:top w:val="single" w:color="CCCCCC" w:sz="1"/>
              <w:left w:val="single" w:color="CCCCCC" w:sz="1"/>
              <w:bottom w:val="single" w:color="CCCCCC" w:sz="1"/>
              <w:right w:val="single" w:color="CCCCCC" w:sz="1"/>
            </w:tcBorders>
          </w:tcPr>
          <w:p>
            <w:r>
              <w:rPr>
                <w:sz w:val="20"/>
                <w:szCs w:val="20"/>
              </w:rPr>
              <w:t xml:space="preserve">Discriminators and key messages to emphasize</w:t>
            </w:r>
          </w:p>
        </w:tc>
      </w:tr>
      <w:tr>
        <w:tc>
          <w:tcPr>
            <w:tcW w:type="dxa" w:w="1800"/>
            <w:tcBorders>
              <w:top w:val="single" w:color="CCCCCC" w:sz="1"/>
              <w:left w:val="single" w:color="CCCCCC" w:sz="1"/>
              <w:bottom w:val="single" w:color="CCCCCC" w:sz="1"/>
              <w:right w:val="single" w:color="CCCCCC" w:sz="1"/>
            </w:tcBorders>
          </w:tcPr>
          <w:p>
            <w:r>
              <w:rPr>
                <w:b/>
                <w:bCs/>
                <w:color w:val="ED7D31"/>
                <w:sz w:val="20"/>
                <w:szCs w:val="20"/>
              </w:rPr>
              <w:t xml:space="preserve">ORANGE</w:t>
            </w:r>
          </w:p>
        </w:tc>
        <w:tc>
          <w:tcPr>
            <w:tcW w:type="dxa" w:w="3000"/>
            <w:tcBorders>
              <w:top w:val="single" w:color="CCCCCC" w:sz="1"/>
              <w:left w:val="single" w:color="CCCCCC" w:sz="1"/>
              <w:bottom w:val="single" w:color="CCCCCC" w:sz="1"/>
              <w:right w:val="single" w:color="CCCCCC" w:sz="1"/>
            </w:tcBorders>
          </w:tcPr>
          <w:p>
            <w:r>
              <w:rPr>
                <w:sz w:val="20"/>
                <w:szCs w:val="20"/>
              </w:rPr>
              <w:t xml:space="preserve">Proof Points</w:t>
            </w:r>
          </w:p>
        </w:tc>
        <w:tc>
          <w:tcPr>
            <w:tcW w:type="dxa" w:w="4560"/>
            <w:tcBorders>
              <w:top w:val="single" w:color="CCCCCC" w:sz="1"/>
              <w:left w:val="single" w:color="CCCCCC" w:sz="1"/>
              <w:bottom w:val="single" w:color="CCCCCC" w:sz="1"/>
              <w:right w:val="single" w:color="CCCCCC" w:sz="1"/>
            </w:tcBorders>
          </w:tcPr>
          <w:p>
            <w:r>
              <w:rPr>
                <w:sz w:val="20"/>
                <w:szCs w:val="20"/>
              </w:rPr>
              <w:t xml:space="preserve">Evidence needed - past performance, metrics, certs</w:t>
            </w:r>
          </w:p>
        </w:tc>
      </w:tr>
      <w:tr>
        <w:tc>
          <w:tcPr>
            <w:tcW w:type="dxa" w:w="1800"/>
            <w:tcBorders>
              <w:top w:val="single" w:color="CCCCCC" w:sz="1"/>
              <w:left w:val="single" w:color="CCCCCC" w:sz="1"/>
              <w:bottom w:val="single" w:color="CCCCCC" w:sz="1"/>
              <w:right w:val="single" w:color="CCCCCC" w:sz="1"/>
            </w:tcBorders>
          </w:tcPr>
          <w:p>
            <w:r>
              <w:rPr>
                <w:b/>
                <w:bCs/>
                <w:color w:val="5B9BD5"/>
                <w:sz w:val="20"/>
                <w:szCs w:val="20"/>
              </w:rPr>
              <w:t xml:space="preserve">BLUE-GRAY</w:t>
            </w:r>
          </w:p>
        </w:tc>
        <w:tc>
          <w:tcPr>
            <w:tcW w:type="dxa" w:w="3000"/>
            <w:tcBorders>
              <w:top w:val="single" w:color="CCCCCC" w:sz="1"/>
              <w:left w:val="single" w:color="CCCCCC" w:sz="1"/>
              <w:bottom w:val="single" w:color="CCCCCC" w:sz="1"/>
              <w:right w:val="single" w:color="CCCCCC" w:sz="1"/>
            </w:tcBorders>
          </w:tcPr>
          <w:p>
            <w:r>
              <w:rPr>
                <w:sz w:val="20"/>
                <w:szCs w:val="20"/>
              </w:rPr>
              <w:t xml:space="preserve">Graphics</w:t>
            </w:r>
          </w:p>
        </w:tc>
        <w:tc>
          <w:tcPr>
            <w:tcW w:type="dxa" w:w="4560"/>
            <w:tcBorders>
              <w:top w:val="single" w:color="CCCCCC" w:sz="1"/>
              <w:left w:val="single" w:color="CCCCCC" w:sz="1"/>
              <w:bottom w:val="single" w:color="CCCCCC" w:sz="1"/>
              <w:right w:val="single" w:color="CCCCCC" w:sz="1"/>
            </w:tcBorders>
          </w:tcPr>
          <w:p>
            <w:r>
              <w:rPr>
                <w:sz w:val="20"/>
                <w:szCs w:val="20"/>
              </w:rPr>
              <w:t xml:space="preserve">Planned visuals with action captions</w:t>
            </w:r>
          </w:p>
        </w:tc>
      </w:tr>
    </w:tbl>
    <w:p>
      <w:pPr>
        <w:spacing w:after="300"/>
      </w:pPr>
    </w:p>
    <w:p>
      <w:pPr>
        <w:pStyle w:val="Heading1"/>
      </w:pPr>
      <w:r>
        <w:t xml:space="preserve">EVALUATION FACTORS SUMMARY</w:t>
      </w:r>
    </w:p>
    <w:p>
      <w:pPr>
        <w:spacing w:after="200"/>
      </w:pPr>
      <w:r>
        <w:rPr>
          <w:color w:val="0070C0"/>
          <w:sz w:val="20"/>
          <w:szCs w:val="20"/>
        </w:rPr>
        <w:t xml:space="preserve">Understanding how the proposal will be scored is critical. Structure content to directly address each evaluation factor.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Factor</w:t>
            </w:r>
          </w:p>
        </w:tc>
        <w:tc>
          <w:tcPr>
            <w:tcW w:type="dxa" w:w="150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Weight</w:t>
            </w:r>
          </w:p>
        </w:tc>
        <w:tc>
          <w:tcPr>
            <w:tcW w:type="dxa" w:w="5060"/>
            <w:tcBorders>
              <w:top w:val="single" w:color="CCCCCC" w:sz="1"/>
              <w:left w:val="single" w:color="CCCCCC" w:sz="1"/>
              <w:bottom w:val="single" w:color="CCCCCC" w:sz="1"/>
              <w:right w:val="single" w:color="CCCCCC" w:sz="1"/>
            </w:tcBorders>
            <w:shd w:fill="0070C0" w:val="clear"/>
          </w:tcPr>
          <w:p>
            <w:r>
              <w:rPr>
                <w:b/>
                <w:bCs/>
                <w:color w:val="FFFFFF"/>
                <w:sz w:val="20"/>
                <w:szCs w:val="20"/>
              </w:rPr>
              <w:t xml:space="preserve">Key Criteria</w:t>
            </w:r>
          </w:p>
        </w:tc>
      </w:tr>
      <w:tr>
        <w:tc>
          <w:tcPr>
            <w:tcW w:type="dxa" w:w="2800"/>
            <w:tcBorders>
              <w:top w:val="single" w:color="CCCCCC" w:sz="1"/>
              <w:left w:val="single" w:color="CCCCCC" w:sz="1"/>
              <w:bottom w:val="single" w:color="CCCCCC" w:sz="1"/>
              <w:right w:val="single" w:color="CCCCCC" w:sz="1"/>
            </w:tcBorders>
          </w:tcPr>
          <w:p>
            <w:r>
              <w:rPr>
                <w:b/>
                <w:bCs/>
                <w:sz w:val="20"/>
                <w:szCs w:val="20"/>
              </w:rPr>
              <w:t xml:space="preserve">Factor 2: Program and Project Management</w:t>
            </w:r>
          </w:p>
        </w:tc>
        <w:tc>
          <w:tcPr>
            <w:tcW w:type="dxa" w:w="1500"/>
            <w:tcBorders>
              <w:top w:val="single" w:color="CCCCCC" w:sz="1"/>
              <w:left w:val="single" w:color="CCCCCC" w:sz="1"/>
              <w:bottom w:val="single" w:color="CCCCCC" w:sz="1"/>
              <w:right w:val="single" w:color="CCCCCC" w:sz="1"/>
            </w:tcBorders>
          </w:tcPr>
          <w:p>
            <w:r>
              <w:rPr>
                <w:sz w:val="20"/>
                <w:szCs w:val="20"/>
              </w:rPr>
              <w:t xml:space="preserve">Adjectival</w:t>
            </w:r>
          </w:p>
        </w:tc>
        <w:tc>
          <w:tcPr>
            <w:tcW w:type="dxa" w:w="5060"/>
            <w:tcBorders>
              <w:top w:val="single" w:color="CCCCCC" w:sz="1"/>
              <w:left w:val="single" w:color="CCCCCC" w:sz="1"/>
              <w:bottom w:val="single" w:color="CCCCCC" w:sz="1"/>
              <w:right w:val="single" w:color="CCCCCC" w:sz="1"/>
            </w:tcBorders>
          </w:tcPr>
          <w:p>
            <w:r>
              <w:rPr>
                <w:sz w:val="20"/>
                <w:szCs w:val="20"/>
              </w:rPr>
              <w:t xml:space="preserve">See Section M for details</w:t>
            </w:r>
          </w:p>
        </w:tc>
      </w:tr>
    </w:tbl>
    <w:p>
      <w:r>
        <w:br w:type="page"/>
      </w:r>
    </w:p>
    <w:p>
      <w:pPr>
        <w:pStyle w:val="Heading1"/>
      </w:pPr>
      <w:r>
        <w:t xml:space="preserve">VOLUME 1: TECHNICAL</w:t>
      </w:r>
    </w:p>
    <w:p>
      <w:pPr>
        <w:spacing w:after="120"/>
      </w:pPr>
      <w:r>
        <w:rPr>
          <w:b/>
          <w:bCs/>
          <w:sz w:val="22"/>
          <w:szCs w:val="22"/>
        </w:rPr>
        <w:t xml:space="preserve">Page Limit: </w:t>
      </w:r>
      <w:r>
        <w:rPr>
          <w:color w:val="C00000"/>
          <w:sz w:val="22"/>
          <w:szCs w:val="22"/>
        </w:rPr>
        <w:t xml:space="preserve">No limit specified</w:t>
      </w:r>
    </w:p>
    <w:p>
      <w:pPr>
        <w:spacing w:after="200"/>
      </w:pPr>
      <w:r>
        <w:rPr>
          <w:b/>
          <w:bCs/>
          <w:color w:val="0070C0"/>
          <w:sz w:val="22"/>
          <w:szCs w:val="22"/>
        </w:rPr>
        <w:t xml:space="preserve">Evaluation Factors: </w:t>
      </w:r>
      <w:r>
        <w:rPr>
          <w:color w:val="0070C0"/>
          <w:sz w:val="22"/>
          <w:szCs w:val="22"/>
        </w:rPr>
        <w:t xml:space="preserve">Factor 2: Program and Project Management</w:t>
      </w:r>
    </w:p>
    <w:p>
      <w:pPr>
        <w:pStyle w:val="Heading2"/>
      </w:pPr>
      <w:r>
        <w:t xml:space="preserve">SEC-TECH-1. Executive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High-level summary of technical approach and key differentiators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SEC-TECH-2. Technical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Detailed methodology and solution architecture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The Technical volume should be specific and complete. Readability, clarity, and coherence are 
very important.  The offeror’s response will be evaluated against the Technical Capability 
subfactor criteria using the instructions provided below. The offerors shall provide as specifically 
as possible the actual methodology the offeror would use for accomplishing/satisfying these 
subfactors. All the requirements specified in the solicitation are mandatory. By the offeror’s 
proposal submission, the offeror is representing that the offeror’s firm will perform all the 
requirements specified in the solicitation. It is not necessary or desirable for the offeror to tell the 
Government so in the offeror’s proposal.  Do not merely reiterate or reformulate the 
requirements specified in the solicitation and specifically the PWS. Offerors are encouraged to 
present their approaches for incorporating technology, innovative management techniques while 
ensuring compliance with applicable standards and regulatory requirements.</w:t>
            </w:r>
          </w:p>
          <w:p>
            <w:pPr>
              <w:pStyle w:val="ListParagraph"/>
              <w:numPr>
                <w:ilvl w:val="0"/>
                <w:numId w:val="2"/>
              </w:numPr>
            </w:pPr>
            <w:r>
              <w:rPr>
                <w:i w:val="false"/>
                <w:iCs w:val="false"/>
                <w:color w:val="000000"/>
                <w:sz w:val="20"/>
                <w:szCs w:val="20"/>
              </w:rPr>
              <w:t xml:space="preserve">[REQ] CUI 
 CUI 5  
1 Introduction 
The Space Command and Control (C2) government System Program Office (SPO) is responsible 
for developing software and the supporting architecture for the Organize, Understand, Plan, 
Decide, Direct, and Monitor capabilities within the C2 Joint Capability Areas (JCAs). The 
program plans to employ a modular contracting strategy to take advantage of managing and 
implementing separate lines of effort.  Line of Effort (LOE) 0 provides the foundational structure 
for Systems Engineering, Integration, and Test (SEIT) and security-classification-specific 
Infrastructure, Platform, Networks, and Data layers (LOE1) (Figure 1). LOE0 and LOE1 support 
cross-capability integration, test, and fielding for Space C2 software developed using an Agile-
based, Development, Security, and Operations (DevSecOps) Rapid Delivery Framework. 
Software development and capabilities primarily support LOE2 Space Domain Awareness, 
LOE3 Theater Support, and LOE4 Space Defense. The software LOEs are focused on individual 
customer requirements to tailor software development for the unique operational mission areas 
and to simplify customer prioritization of the product backlog for each mission area.  
The Space C2 Program Office will provide customer support by establishing a 24 hours-a-day, 7-
days a week (24/7) Network Operations Center (NOC) at Vandenberg Space Force Base (VSFB) 
at the Secret and Top Secret / Sensitive Compartmented Information (TS/SCI) levels. The NOC 
provides 24/7 product support such as operational dashboard monitoring, call tree notifications, 
and general “Tier 1” support as shown in Figure 2. This support spans Space C2 software 
products, WarpCore (Data as a Service) data layer, and Space C2 on-prem infrastructure (known 
as C2 Operational [C2Ops] environment) through dashboard(s) on the Space C2 WarpCore 
system and initial SPO-provided procedures.  
The 24/7 NOC scope includes Tier 1 network support using network-provided dashboard(s) and 
procedure(s) for the Space Awareness Resilient Tactical Network (SPARTAN) and Space 
Domain Awareness Network (SDANet), at a minimum. The 24/7 NOC utilizes insights from 
other networks, such as but not limited to MeshOne-T, Space Defense Interface Network 
(SDIN), Communications Processing System (CPS), to report out issues identified and associate 
scope of impacts. 
The Space C2 Program also requires regular duty hours infrastructure and operations support, 
this includes system administration and maintenance of on-prem hardware (C2Ops and TBD 
MOSSAIC Scope). The 24/7 NOC principally resides within LOE1 and supports LOEs 0, 2, 3, 
and 4 within the total Space C2 portfolio. 
&lt;TBD paragraph on Maintenance of Space Situational Awareness Integrated Capabilities 
(MOSSAIC) Scope&gt; 
This contract scope is grouped in the following categories:   
- General support to users including Tier 0 and Tier 1 actions and system monitoring.   
- Software monitoring of all Commercial-Off-The-Shel...</w:t>
            </w:r>
          </w:p>
          <w:p>
            <w:pPr>
              <w:pStyle w:val="ListParagraph"/>
              <w:numPr>
                <w:ilvl w:val="0"/>
                <w:numId w:val="2"/>
              </w:numPr>
            </w:pPr>
            <w:r>
              <w:rPr>
                <w:i w:val="false"/>
                <w:iCs w:val="false"/>
                <w:color w:val="000000"/>
                <w:sz w:val="20"/>
                <w:szCs w:val="20"/>
              </w:rPr>
              <w:t xml:space="preserve">[REQ] 2. Cost &amp; Price Volume 
The Cost/Price volume should be specific and complete. Readability, clarity, and coherence are 
very important.  The offeror’s Cost/Price proposal will be evaluated via a cost analysis, in order 
to determine if the overall price is fair and reasonable.  Using the instructions provided below, 
provide as specifically as possible the actual methodology used to develop the cost/price 
subfactors. All the requirements specified in the solicitation are mandatory.</w:t>
            </w:r>
          </w:p>
          <w:p>
            <w:pPr>
              <w:pStyle w:val="ListParagraph"/>
              <w:numPr>
                <w:ilvl w:val="0"/>
                <w:numId w:val="2"/>
              </w:numPr>
            </w:pPr>
            <w:r>
              <w:rPr>
                <w:i w:val="false"/>
                <w:iCs w:val="false"/>
                <w:color w:val="000000"/>
                <w:sz w:val="20"/>
                <w:szCs w:val="20"/>
              </w:rPr>
              <w:t xml:space="preserve">[REQ] Instruction: The contractor shall develop and deliver cost volume which describes how the 
Cost/Price Factor compliance is met.  The offeror (and sub-contractors if applicable) shall 
complete and submit a Supply Pricing Table for 24/7 NOC (see attachment 4 for template). This 
table shall include tabs for each environment, environment agnostic, travel, cost reimbursable 
elements, labor, and milestone payments.  Within these tabs, the contractor shall allocate 
cost/price to support the needs identified in the KM Baseline Document along with approach 
proposed in the Technical Volume including the 24x7 NOC Description Document.  The 
Contractor shall include Cost Element Summary by Calendar Year (CY) and Government Fiscal 
Year (GFY) (at the total and CLIN levels), based on your Cost Accounting System (CAS).  The 
offeror shall provide a milestone payment plan based on the technical approach to meet all PWS 
requirements. Offerors shall comply with all Criteria instructions.</w:t>
            </w:r>
          </w:p>
          <w:p>
            <w:pPr>
              <w:pStyle w:val="ListParagraph"/>
              <w:numPr>
                <w:ilvl w:val="0"/>
                <w:numId w:val="2"/>
              </w:numPr>
            </w:pPr>
            <w:r>
              <w:rPr>
                <w:i w:val="false"/>
                <w:iCs w:val="false"/>
                <w:color w:val="000000"/>
                <w:sz w:val="20"/>
                <w:szCs w:val="20"/>
              </w:rPr>
              <w:t xml:space="preserve">[REQ] Evaluation: The proposed approach will be evaluated for the degree of confidence the 
Government has in an offeror’s ability to meet the requirements outlined in the PWS, as well as 
the ability to maintain the production systems and legacy equipment with zero drops in service.  
Approach will also be evaluated on the governments confidence that the offeror will be able to 
provide key personnel that meet all requirements identified in the SOW (technical rating / 
Strength / Risk).</w:t>
            </w:r>
          </w:p>
          <w:p>
            <w:pPr>
              <w:pStyle w:val="ListParagraph"/>
              <w:numPr>
                <w:ilvl w:val="0"/>
                <w:numId w:val="2"/>
              </w:numPr>
            </w:pPr>
            <w:r>
              <w:rPr>
                <w:i w:val="false"/>
                <w:iCs w:val="false"/>
                <w:color w:val="000000"/>
                <w:sz w:val="20"/>
                <w:szCs w:val="20"/>
              </w:rPr>
              <w:t xml:space="preserve">[REQ] (1) Descriptions or definitions:
""Contractor"" means the business entity receiving the award of this contract, its parents, affiliates, divisions and subsidiaries.
""Development"" means all efforts towards solution of broadly-defined problems. This may encompass research, evaluating technical feasibility, 
proof of design and test, or engineering of programs not yet approved for acquisition or operation.
""Proprietary Information"" means all information designated as proprietary in accordance with law and regulation, and held in confidence or 
disclosed under restriction to prevent uncontrolled distribution. Examples include limited or restricted data, trade secrets, sensitive financial 
information, and computer software; and may appear in cost and pricing data or involve classified information.
""System"" means the system that is the subject of this contract.
""System Life"" means all phases of the system's development, production, or support.
""Systems Engineering"" means preparing specifications, identifying and resolving interface problems, developing test requirements, evaluating test 
data, and supervising design.
""Technical Direction"" means developing work statements, determining parameters, directing other Contractors' operations, or resolving technical 
controversies.</w:t>
            </w:r>
          </w:p>
          <w:p>
            <w:pPr>
              <w:pStyle w:val="ListParagraph"/>
              <w:numPr>
                <w:ilvl w:val="0"/>
                <w:numId w:val="2"/>
              </w:numPr>
            </w:pPr>
            <w:r>
              <w:rPr>
                <w:i w:val="false"/>
                <w:iCs w:val="false"/>
                <w:color w:val="000000"/>
                <w:sz w:val="20"/>
                <w:szCs w:val="20"/>
              </w:rPr>
              <w:t xml:space="preserve">[REQ] 2.1.5 The Contractor shall proactively support collaborative root cause analysis and 
incorporate results in future processes, tooling, instrumentation, procedural changes, 
and/or software development to minimize reoccurrence of cyber, operational, and/or 
development disruptions.</w:t>
            </w:r>
          </w:p>
          <w:p>
            <w:pPr>
              <w:pStyle w:val="ListParagraph"/>
              <w:numPr>
                <w:ilvl w:val="0"/>
                <w:numId w:val="2"/>
              </w:numPr>
            </w:pPr>
            <w:r>
              <w:rPr>
                <w:i w:val="false"/>
                <w:iCs w:val="false"/>
                <w:color w:val="000000"/>
                <w:sz w:val="20"/>
                <w:szCs w:val="20"/>
              </w:rPr>
              <w:t xml:space="preserve">[REQ] 2.2.4 The Contractor shall coordinate and gain approval of product technical baseline changes 
and the timing of any migration / adoption through the Space C2 CMB ahead of change 
implementation. This includes, but is not limited to, changes to product resourcing, 
security, interfaces (i.e., connections, data, messaging), commercial tooling, and any 
major product revisions.</w:t>
            </w:r>
          </w:p>
          <w:p>
            <w:pPr>
              <w:pStyle w:val="ListParagraph"/>
              <w:numPr>
                <w:ilvl w:val="0"/>
                <w:numId w:val="2"/>
              </w:numPr>
            </w:pPr>
            <w:r>
              <w:rPr>
                <w:i w:val="false"/>
                <w:iCs w:val="false"/>
                <w:color w:val="000000"/>
                <w:sz w:val="20"/>
                <w:szCs w:val="20"/>
              </w:rPr>
              <w:t xml:space="preserve">[REQ] 4.2.1 The Contractor shall provide 24/7 Tier 1 support to Space C2 software products, network 
interfaces, network infrastructure, infrastructure, and platform services. Tier 1 support 
can be generally defined as:  
• Account/password resets  
• Simple restores  
• System response   
• Service request ticket submissions via KM Jira helpdesk  
• Initiation of Tier 2 after hour support recalls / call trees 
• Enablement of 2-minute system support and roll back procedures as required  
• Initiation of rollback or failover procedures if procedures dictate such actions 
• System status documentation by shift 
• End of shift reporting</w:t>
            </w:r>
          </w:p>
          <w:p>
            <w:pPr>
              <w:pStyle w:val="ListParagraph"/>
              <w:numPr>
                <w:ilvl w:val="0"/>
                <w:numId w:val="2"/>
              </w:numPr>
            </w:pPr>
            <w:r>
              <w:rPr>
                <w:i w:val="false"/>
                <w:iCs w:val="false"/>
                <w:color w:val="000000"/>
                <w:sz w:val="20"/>
                <w:szCs w:val="20"/>
              </w:rPr>
              <w:t xml:space="preserve">[REQ] 4.6.1 The Contractor shall provide Tier 1 24/7 support to include monitoring dashboards, 
performing trend analysis using key data parameters from dashboards, notification of 
"yellow" system state, rapid escalation of "red" system state to Tier 2, and executing pre-
canned procedures to include potentially failing over from Side A to Side B if failure is 
significant.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SEC-TECH-3. Understanding of Requirements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Demonstration of RFP comprehension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SEC-TECH-4. Work Plan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Project schedule, milestones, and deliverables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SEC-TECH-5. Quality Assurance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Quality control processes and metrics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2: PAST PERFORMANCE</w:t>
      </w:r>
    </w:p>
    <w:p>
      <w:pPr>
        <w:spacing w:after="120"/>
      </w:pPr>
      <w:r>
        <w:rPr>
          <w:b/>
          <w:bCs/>
          <w:sz w:val="22"/>
          <w:szCs w:val="22"/>
        </w:rPr>
        <w:t xml:space="preserve">Page Limit: </w:t>
      </w:r>
      <w:r>
        <w:rPr>
          <w:color w:val="C00000"/>
          <w:sz w:val="22"/>
          <w:szCs w:val="22"/>
        </w:rPr>
        <w:t xml:space="preserve">No limit specified</w:t>
      </w:r>
    </w:p>
    <w:p>
      <w:pPr>
        <w:pStyle w:val="Heading2"/>
      </w:pPr>
      <w:r>
        <w:t xml:space="preserve">SEC-PP-1. Recent &amp; Relevant Projects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Projects demonstrating similar scope, size, and complexity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2.4.1 The Contractor shall provide the CDRLs identified in Table 2. The SPO will review the 
submission of data per the CDRL prior to acceptance, acceptance criteria will include 
verification of appropriate intellectual property markings. 
Table 2: Contract Data Requirements List 
# CDRL Frequency 
A001 Cost Funds Status Report (CFSR) Monthly 
A002 Program Protection Implementation Plan (PPIP) Once 
A003 Data Accession List (DAL) Periodic 
A004 Program Management Review (PMR) Monthly</w:t>
            </w:r>
          </w:p>
          <w:p>
            <w:pPr>
              <w:pStyle w:val="ListParagraph"/>
              <w:numPr>
                <w:ilvl w:val="0"/>
                <w:numId w:val="2"/>
              </w:numPr>
            </w:pPr>
            <w:r>
              <w:rPr>
                <w:i w:val="false"/>
                <w:iCs w:val="false"/>
                <w:color w:val="000000"/>
                <w:sz w:val="20"/>
                <w:szCs w:val="20"/>
              </w:rPr>
              <w:t xml:space="preserve">[REQ] 2.1.1 The Contractor shall provide program management and staffing resources necessary to 
plan, manage, direct, control, and report on all activities contributing to requirements 
identified herein.</w:t>
            </w:r>
          </w:p>
          <w:p>
            <w:pPr>
              <w:pStyle w:val="ListParagraph"/>
              <w:numPr>
                <w:ilvl w:val="0"/>
                <w:numId w:val="2"/>
              </w:numPr>
            </w:pPr>
            <w:r>
              <w:rPr>
                <w:i w:val="false"/>
                <w:iCs w:val="false"/>
                <w:color w:val="000000"/>
                <w:sz w:val="20"/>
                <w:szCs w:val="20"/>
              </w:rPr>
              <w:t xml:space="preserve">[REQ] CUI 
 CUI 5  
1 Introduction 
The Space Command and Control (C2) government System Program Office (SPO) is responsible 
for developing software and the supporting architecture for the Organize, Understand, Plan, 
Decide, Direct, and Monitor capabilities within the C2 Joint Capability Areas (JCAs). The 
program plans to employ a modular contracting strategy to take advantage of managing and 
implementing separate lines of effort.  Line of Effort (LOE) 0 provides the foundational structure 
for Systems Engineering, Integration, and Test (SEIT) and security-classification-specific 
Infrastructure, Platform, Networks, and Data layers (LOE1) (Figure 1). LOE0 and LOE1 support 
cross-capability integration, test, and fielding for Space C2 software developed using an Agile-
based, Development, Security, and Operations (DevSecOps) Rapid Delivery Framework. 
Software development and capabilities primarily support LOE2 Space Domain Awareness, 
LOE3 Theater Support, and LOE4 Space Defense. The software LOEs are focused on individual 
customer requirements to tailor software development for the unique operational mission areas 
and to simplify customer prioritization of the product backlog for each mission area.  
The Space C2 Program Office will provide customer support by establishing a 24 hours-a-day, 7-
days a week (24/7) Network Operations Center (NOC) at Vandenberg Space Force Base (VSFB) 
at the Secret and Top Secret / Sensitive Compartmented Information (TS/SCI) levels. The NOC 
provides 24/7 product support such as operational dashboard monitoring, call tree notifications, 
and general “Tier 1” support as shown in Figure 2. This support spans Space C2 software 
products, WarpCore (Data as a Service) data layer, and Space C2 on-prem infrastructure (known 
as C2 Operational [C2Ops] environment) through dashboard(s) on the Space C2 WarpCore 
system and initial SPO-provided procedures.  
The 24/7 NOC scope includes Tier 1 network support using network-provided dashboard(s) and 
procedure(s) for the Space Awareness Resilient Tactical Network (SPARTAN) and Space 
Domain Awareness Network (SDANet), at a minimum. The 24/7 NOC utilizes insights from 
other networks, such as but not limited to MeshOne-T, Space Defense Interface Network 
(SDIN), Communications Processing System (CPS), to report out issues identified and associate 
scope of impacts. 
The Space C2 Program also requires regular duty hours infrastructure and operations support, 
this includes system administration and maintenance of on-prem hardware (C2Ops and TBD 
MOSSAIC Scope). The 24/7 NOC principally resides within LOE1 and supports LOEs 0, 2, 3, 
and 4 within the total Space C2 portfolio. 
&lt;TBD paragraph on Maintenance of Space Situational Awareness Integrated Capabilities 
(MOSSAIC) Scope&gt; 
This contract scope is grouped in the following categories:   
- General support to users including Tier 0 and Tier 1 actions and system monitoring.   
- Software monitoring of all Commercial-Off-The-Shel...</w:t>
            </w:r>
          </w:p>
          <w:p>
            <w:pPr>
              <w:pStyle w:val="ListParagraph"/>
              <w:numPr>
                <w:ilvl w:val="0"/>
                <w:numId w:val="2"/>
              </w:numPr>
            </w:pPr>
            <w:r>
              <w:rPr>
                <w:i w:val="false"/>
                <w:iCs w:val="false"/>
                <w:color w:val="000000"/>
                <w:sz w:val="20"/>
                <w:szCs w:val="20"/>
              </w:rPr>
              <w:t xml:space="preserve">[REQ] 2.3.3 The Contractor shall conduct a monthly Program Management Review (PMR) 
alternating each month between an Executive-level PMR and a Program Manager-level 
PMR. The PMR shall be virtual, unless otherwise specified by the Government Lead, or 
their designee. The PMR draft agenda shall sent to the Government Lead no less than 
five (5) business days prior to the PMR and the agenda shall be approved by the 
Government Lead.</w:t>
            </w:r>
          </w:p>
          <w:p>
            <w:pPr>
              <w:pStyle w:val="ListParagraph"/>
              <w:numPr>
                <w:ilvl w:val="0"/>
                <w:numId w:val="2"/>
              </w:numPr>
            </w:pPr>
            <w:r>
              <w:rPr>
                <w:i w:val="false"/>
                <w:iCs w:val="false"/>
                <w:color w:val="000000"/>
                <w:sz w:val="20"/>
                <w:szCs w:val="20"/>
              </w:rPr>
              <w:t xml:space="preserve">[REQ] 2.1.6 The Contractor shall provide contract status information for SPO management purposes.  
This includes SPO level reviews, executive reviews, independent program reviews and 
assessments, inspections, milestone events, budget excursions, and user conferences.</w:t>
            </w:r>
          </w:p>
          <w:p>
            <w:pPr>
              <w:pStyle w:val="ListParagraph"/>
              <w:numPr>
                <w:ilvl w:val="0"/>
                <w:numId w:val="2"/>
              </w:numPr>
            </w:pPr>
            <w:r>
              <w:rPr>
                <w:i w:val="false"/>
                <w:iCs w:val="false"/>
                <w:color w:val="000000"/>
                <w:sz w:val="20"/>
                <w:szCs w:val="20"/>
              </w:rPr>
              <w:t xml:space="preserve">[REQ] 5.2.2 The Contractor shall provide support to transition Space C2 mission operations from 
existing systems to modern products through scheduled and unscheduled support actions 
that maintain the status and health of the system and enable quick restoral of service once 
a failure occurs. This support includes, but is not limited to: 
• Fault detection and isolation 
• Replacement of failed Line Replaceable Units (LRUs) 
• Accomplishment of scheduled/preventive maintenance actions 
• Identification of system improvements and modifications 
• Obsolescence management 
• Configuration control of system network and software within the boundary 
• File and database administration 
• Installation of approved updates 
• Stock control of on-site spares, miscellaneous parts, and work order residue</w:t>
            </w:r>
          </w:p>
          <w:p>
            <w:pPr>
              <w:pStyle w:val="ListParagraph"/>
              <w:numPr>
                <w:ilvl w:val="0"/>
                <w:numId w:val="2"/>
              </w:numPr>
            </w:pPr>
            <w:r>
              <w:rPr>
                <w:i w:val="false"/>
                <w:iCs w:val="false"/>
                <w:color w:val="000000"/>
                <w:sz w:val="20"/>
                <w:szCs w:val="20"/>
              </w:rPr>
              <w:t xml:space="preserve">[REQ] 7.1.11 The Contractor shall conduct an initial kick-off meeting and bi-weekly management 
reviews, during the on-ramp period, to provide status of the transition tasks, risks, and 
issues. The Contractor shall conduct more frequent reviews if needed to ensure 
successful completion of all transition tasks needed to support full transference from the 
various incumbents to the 24/7 NOC contract by the end of the on-ramp period.</w:t>
            </w:r>
          </w:p>
          <w:p>
            <w:pPr>
              <w:pStyle w:val="ListParagraph"/>
              <w:numPr>
                <w:ilvl w:val="0"/>
                <w:numId w:val="2"/>
              </w:numPr>
            </w:pPr>
            <w:r>
              <w:rPr>
                <w:i w:val="false"/>
                <w:iCs w:val="false"/>
                <w:color w:val="000000"/>
                <w:sz w:val="20"/>
                <w:szCs w:val="20"/>
              </w:rPr>
              <w:t xml:space="preserve">[REQ] 2.1.8 The Contractor shall notify the Government Lead, or their designee, of Government 
Senior Leadership or other stakeholder program visits as well as program media 
exposures. The contractor shall report events within 48 hours of identification or within 
24 hours of the event, whichever comes sooner.</w:t>
            </w:r>
          </w:p>
          <w:p>
            <w:pPr>
              <w:pStyle w:val="ListParagraph"/>
              <w:numPr>
                <w:ilvl w:val="0"/>
                <w:numId w:val="2"/>
              </w:numPr>
            </w:pPr>
            <w:r>
              <w:rPr>
                <w:i w:val="false"/>
                <w:iCs w:val="false"/>
                <w:color w:val="000000"/>
                <w:sz w:val="20"/>
                <w:szCs w:val="20"/>
              </w:rPr>
              <w:t xml:space="preserve">[REQ] 2.3.1 The Contractor shall conduct a Kick-off Meeting within 30 days of contract award to 
include, at a minimum: special topics, roadmap review, and risk and mitigation plans.  
Meeting read ahead materials shall be made available NLT 7 days prior to meeting.</w:t>
            </w:r>
          </w:p>
          <w:p>
            <w:pPr>
              <w:pStyle w:val="ListParagraph"/>
              <w:numPr>
                <w:ilvl w:val="0"/>
                <w:numId w:val="2"/>
              </w:numPr>
            </w:pPr>
            <w:r>
              <w:rPr>
                <w:i w:val="false"/>
                <w:iCs w:val="false"/>
                <w:color w:val="000000"/>
                <w:sz w:val="20"/>
                <w:szCs w:val="20"/>
              </w:rPr>
              <w:t xml:space="preserve">[REQ] 2.4.5 A004 PMR shall include content provided within the SPO-provided template. This 
includes, but is not limited to: 
• Internal (execution) product risks,  
• External (dependency) product risks,  
• Metrics,  
• Organizational structure and projected staffing changes that spans a minimum of a 
30-day forecast,  
• Obligation and expenditure status and forecast,  
• Invoice status,  
• Travel projections, and  
• Bill of materials.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SEC-PP-2. Performance Questionnaires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Client reference information and CPARS ratings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SEC-PP-3. Lessons Learned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How past experience informs this effort</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SEC-PP-4. Corporate Experience Summary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Overview of organizational capabilities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Instruction: The offeror shall provide a detailed staff training and certification plan and include 
any potential risks along with their associated mitigation factors.  The plan should address the 
offeror’s strategy to train and certify personnel to maintain 24/7 crew operations.  The approach 
should address how the offeror plans to obtain cleared personnel in the Vandenberg SFB area, 
retraining of personnel and any prior experience hiring in the area.  The offeror shall also provide 
a detailed ramp up and transition plan.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3: COST/PRICE</w:t>
      </w:r>
    </w:p>
    <w:p>
      <w:pPr>
        <w:spacing w:after="120"/>
      </w:pPr>
      <w:r>
        <w:rPr>
          <w:b/>
          <w:bCs/>
          <w:sz w:val="22"/>
          <w:szCs w:val="22"/>
        </w:rPr>
        <w:t xml:space="preserve">Page Limit: </w:t>
      </w:r>
      <w:r>
        <w:rPr>
          <w:color w:val="C00000"/>
          <w:sz w:val="22"/>
          <w:szCs w:val="22"/>
        </w:rPr>
        <w:t xml:space="preserve">No limit specified</w:t>
      </w:r>
    </w:p>
    <w:p>
      <w:pPr>
        <w:pStyle w:val="Heading2"/>
      </w:pPr>
      <w:r>
        <w:t xml:space="preserve">SEC-COST-1. Pricing Assumptions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Basis of estimate and pricing rationale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SEC-COST-2. CLIN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Contract line item breakdown and pricing</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SEC-COST-3. Labor Categories &amp; Rates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Labor rate justification and basis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SEC-COST-4. Other Direct Costs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ODCs, travel, materials, and subcontracts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SEC-COST-5. Cost Narrative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Supporting narrative for price reasonableness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1"/>
        <w:pageBreakBefore/>
      </w:pPr>
      <w:r>
        <w:t xml:space="preserve">VOLUME 4: STAFFING</w:t>
      </w:r>
    </w:p>
    <w:p>
      <w:pPr>
        <w:spacing w:after="120"/>
      </w:pPr>
      <w:r>
        <w:rPr>
          <w:b/>
          <w:bCs/>
          <w:sz w:val="22"/>
          <w:szCs w:val="22"/>
        </w:rPr>
        <w:t xml:space="preserve">Page Limit: </w:t>
      </w:r>
      <w:r>
        <w:rPr>
          <w:color w:val="C00000"/>
          <w:sz w:val="22"/>
          <w:szCs w:val="22"/>
        </w:rPr>
        <w:t xml:space="preserve">No limit specified</w:t>
      </w:r>
    </w:p>
    <w:p>
      <w:pPr>
        <w:pStyle w:val="Heading2"/>
      </w:pPr>
      <w:r>
        <w:t xml:space="preserve">SEC-STAFF-1. Key Personnel</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Resumes and qualifications of key staff</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030A0" w:sz="1"/>
              <w:left w:val="single" w:color="7030A0" w:sz="1"/>
              <w:bottom w:val="single" w:color="7030A0" w:sz="1"/>
              <w:right w:val="single" w:color="7030A0" w:sz="1"/>
            </w:tcBorders>
            <w:shd w:fill="E4D5F0" w:val="clear"/>
          </w:tcPr>
          <w:p>
            <w:pPr>
              <w:spacing w:after="80"/>
            </w:pPr>
            <w:r>
              <w:rPr>
                <w:b/>
                <w:bCs/>
                <w:color w:val="7030A0"/>
                <w:sz w:val="18"/>
                <w:szCs w:val="18"/>
                <w:smallCaps/>
              </w:rPr>
              <w:t xml:space="preserve">SECTION C/PWS - TECHNICAL REQUIREMENTS</w:t>
            </w:r>
          </w:p>
          <w:p>
            <w:pPr>
              <w:pStyle w:val="ListParagraph"/>
              <w:numPr>
                <w:ilvl w:val="0"/>
                <w:numId w:val="2"/>
              </w:numPr>
            </w:pPr>
            <w:r>
              <w:rPr>
                <w:i w:val="false"/>
                <w:iCs w:val="false"/>
                <w:color w:val="000000"/>
                <w:sz w:val="20"/>
                <w:szCs w:val="20"/>
              </w:rPr>
              <w:t xml:space="preserve">[REQ] 3.2.5 All proposed Key Personnel substitutions shall be submitted, in writing, to the 
Contracting Officer and Contracting Officer Representative (COR) at least fifteen (15) 
calendar days before motnhly PMR.  Each request shall provide a detailed explanation of 
the circumstances necessitating the proposed substitution, a complete resume for the 
proposed substitute and any other information required by the Contracting Officer. All 
proposed substitutes shall have qualifications equal to or higher than the qualifications of 
the original Key Personnel being replaced and shall meet the minimum Key Personnel 
labor category requirements.</w:t>
            </w:r>
          </w:p>
          <w:p>
            <w:pPr>
              <w:pStyle w:val="ListParagraph"/>
              <w:numPr>
                <w:ilvl w:val="0"/>
                <w:numId w:val="2"/>
              </w:numPr>
            </w:pPr>
            <w:r>
              <w:rPr>
                <w:i w:val="false"/>
                <w:iCs w:val="false"/>
                <w:color w:val="000000"/>
                <w:sz w:val="20"/>
                <w:szCs w:val="20"/>
              </w:rPr>
              <w:t xml:space="preserve">[REQ] 3.2.2 The Contractor shall assign to the contract those persons, whose resumes, were submitted 
in their proposal as required in the Request for Proposal (RFP) to fill the Key Personnel 
requirements of the contract. These persons shall fill the Key Personnel positions for not 
less than one year from the contract effective date.</w:t>
            </w:r>
          </w:p>
          <w:p>
            <w:pPr>
              <w:pStyle w:val="ListParagraph"/>
              <w:numPr>
                <w:ilvl w:val="0"/>
                <w:numId w:val="2"/>
              </w:numPr>
            </w:pPr>
            <w:r>
              <w:rPr>
                <w:i w:val="false"/>
                <w:iCs w:val="false"/>
                <w:color w:val="000000"/>
                <w:sz w:val="20"/>
                <w:szCs w:val="20"/>
              </w:rPr>
              <w:t xml:space="preserve">[REQ] 1.3 Sub Factor 2: Infrastructure Approach 
Instruction: The offeror shall submit an approach for the uninterrupted transfer of responsibility 
facilities, equipment, accounts, documentation, personnel, operation and maintenance functions, 
legacy equipment and all other materials and responsibilities identified in the SOW and bidders 
library. The approach should address how the offeror will execute infrastructure upgrades and/or 
rollbacks while minimizing breaks in service.  The approach should also include any offeror 
provided tooling or specialized processes used to manage changes across multiple configuration 
change boards/change management boards run by different organizations.  Resumes should also 
be submitted for key personnel that demonstrate how the offeror meets requirements in the 
SOW.</w:t>
            </w:r>
          </w:p>
          <w:p>
            <w:pPr>
              <w:pStyle w:val="ListParagraph"/>
              <w:numPr>
                <w:ilvl w:val="0"/>
                <w:numId w:val="2"/>
              </w:numPr>
            </w:pPr>
            <w:r>
              <w:rPr>
                <w:i w:val="false"/>
                <w:iCs w:val="false"/>
                <w:color w:val="000000"/>
                <w:sz w:val="20"/>
                <w:szCs w:val="20"/>
              </w:rPr>
              <w:t xml:space="preserve">[REQ] Evaluation: The proposed approach will be evaluated for the degree of confidence the 
Government has in an offeror’s ability to meet the requirements outlined in the PWS, as well as 
the ability to maintain the production systems and legacy equipment with zero drops in service.  
Approach will also be evaluated on the governments confidence that the offeror will be able to 
provide key personnel that meet all requirements identified in the SOW (technical rating / 
Strength / Risk).</w:t>
            </w:r>
          </w:p>
          <w:p>
            <w:pPr>
              <w:pStyle w:val="ListParagraph"/>
              <w:numPr>
                <w:ilvl w:val="0"/>
                <w:numId w:val="2"/>
              </w:numPr>
            </w:pPr>
            <w:r>
              <w:rPr>
                <w:i w:val="false"/>
                <w:iCs w:val="false"/>
                <w:color w:val="000000"/>
                <w:sz w:val="20"/>
                <w:szCs w:val="20"/>
              </w:rPr>
              <w:t xml:space="preserve">[REQ] 2.3.3 The Contractor shall conduct a monthly Program Management Review (PMR) 
alternating each month between an Executive-level PMR and a Program Manager-level 
PMR. The PMR shall be virtual, unless otherwise specified by the Government Lead, or 
their designee. The PMR draft agenda shall sent to the Government Lead no less than 
five (5) business days prior to the PMR and the agenda shall be approved by the 
Government Lead.</w:t>
            </w:r>
          </w:p>
          <w:p>
            <w:pPr>
              <w:pStyle w:val="ListParagraph"/>
              <w:numPr>
                <w:ilvl w:val="0"/>
                <w:numId w:val="2"/>
              </w:numPr>
            </w:pPr>
            <w:r>
              <w:rPr>
                <w:i w:val="false"/>
                <w:iCs w:val="false"/>
                <w:color w:val="000000"/>
                <w:sz w:val="20"/>
                <w:szCs w:val="20"/>
              </w:rPr>
              <w:t xml:space="preserve">[REQ] 3.2.4 Key Personnel are required to be 100% assigned to this effort for a minimum of the first 
12 months unless there is an unforeseen circumstance.  If Key Personnel for whatever 
reason become unavailable for work under the contract for a continuous period 
exceeding 30 working days the Contractor shall propose a substitution of such Key 
Personnel.</w:t>
            </w:r>
          </w:p>
          <w:p>
            <w:pPr>
              <w:pStyle w:val="ListParagraph"/>
              <w:numPr>
                <w:ilvl w:val="0"/>
                <w:numId w:val="2"/>
              </w:numPr>
            </w:pPr>
            <w:r>
              <w:rPr>
                <w:i w:val="false"/>
                <w:iCs w:val="false"/>
                <w:color w:val="000000"/>
                <w:sz w:val="20"/>
                <w:szCs w:val="20"/>
              </w:rPr>
              <w:t xml:space="preserve">[REQ] (a) An ombudsman has been appointed to hear and facilitate the resolution of concerns from offerors, potential offerors, and others for this 
acquisition. When requested, the ombudsman will maintain strict confidentiality as to the source of the concern. The existence of the ombudsman 
does not affect the authority of the program manager, contracting officer, or source selection official. Further, the ombudsman does not participate in 
the evaluation of proposals, the source selection process, or the adjudication of protests or formal contract disputes. The ombudsman may refer the 
interested party to another official who can resolve the concern.</w:t>
            </w:r>
          </w:p>
          <w:p>
            <w:pPr>
              <w:pStyle w:val="ListParagraph"/>
              <w:numPr>
                <w:ilvl w:val="0"/>
                <w:numId w:val="2"/>
              </w:numPr>
            </w:pPr>
            <w:r>
              <w:rPr>
                <w:i w:val="false"/>
                <w:iCs w:val="false"/>
                <w:color w:val="000000"/>
                <w:sz w:val="20"/>
                <w:szCs w:val="20"/>
              </w:rPr>
              <w:t xml:space="preserve">[REQ] 2.4.14 The contractor shall cooperate with Federally Funded Research and Development Center 
(FFRDC) contracts, as identified within the Space C2 contractors list. 
3 Personnel &amp; Staffing</w:t>
            </w:r>
          </w:p>
          <w:p>
            <w:pPr>
              <w:pStyle w:val="ListParagraph"/>
              <w:numPr>
                <w:ilvl w:val="0"/>
                <w:numId w:val="2"/>
              </w:numPr>
            </w:pPr>
            <w:r>
              <w:rPr>
                <w:i w:val="false"/>
                <w:iCs w:val="false"/>
                <w:color w:val="000000"/>
                <w:sz w:val="20"/>
                <w:szCs w:val="20"/>
              </w:rPr>
              <w:t xml:space="preserve">[REQ] 4.4.3 The Contractor shall provide trained personnel that are continuously observing delivered 
dashboards, executing procedures that have been approved by the Government, and 
notifying Tier 2 and 3 teams of unusual behavior which could eventually lead to system 
failure or degradations in network connectivity.</w:t>
            </w:r>
          </w:p>
          <w:p>
            <w:pPr>
              <w:pStyle w:val="ListParagraph"/>
              <w:numPr>
                <w:ilvl w:val="0"/>
                <w:numId w:val="2"/>
              </w:numPr>
            </w:pPr>
            <w:r>
              <w:rPr>
                <w:i w:val="false"/>
                <w:iCs w:val="false"/>
                <w:color w:val="000000"/>
                <w:sz w:val="20"/>
                <w:szCs w:val="20"/>
              </w:rPr>
              <w:t xml:space="preserve">[REQ] Instruction: The offeror shall provide a detailed staff training and certification plan and include 
any potential risks along with their associated mitigation factors.  The plan should address the 
offeror’s strategy to train and certify personnel to maintain 24/7 crew operations.  The approach 
should address how the offeror plans to obtain cleared personnel in the Vandenberg SFB area, 
retraining of personnel and any prior experience hiring in the area.  The offeror shall also provide 
a detailed ramp up and transition plan.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SEC-STAFF-2. Organizational Chart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Team structure and roles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SEC-STAFF-3. Labor Mix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Labor category distribution and rationale</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p>
      <w:pPr>
        <w:pStyle w:val="Heading2"/>
      </w:pPr>
      <w:r>
        <w:t xml:space="preserve">SEC-STAFF-4. Succession Planning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1"/>
              <w:left w:val="single" w:color="C00000" w:sz="1"/>
              <w:bottom w:val="single" w:color="C00000" w:sz="1"/>
              <w:right w:val="single" w:color="C00000" w:sz="1"/>
            </w:tcBorders>
            <w:shd w:fill="FCE4D6" w:val="clear"/>
          </w:tcPr>
          <w:p>
            <w:pPr>
              <w:spacing w:after="80"/>
            </w:pPr>
            <w:r>
              <w:rPr>
                <w:b/>
                <w:bCs/>
                <w:color w:val="C00000"/>
                <w:sz w:val="18"/>
                <w:szCs w:val="18"/>
                <w:smallCaps/>
              </w:rPr>
              <w:t xml:space="preserve">SECTION L - INSTRUCTIONS</w:t>
            </w:r>
          </w:p>
          <w:p>
            <w:pPr>
              <w:pStyle w:val="ListParagraph"/>
              <w:numPr>
                <w:ilvl w:val="0"/>
                <w:numId w:val="2"/>
              </w:numPr>
            </w:pPr>
            <w:r>
              <w:rPr>
                <w:i w:val="false"/>
                <w:iCs w:val="false"/>
                <w:color w:val="000000"/>
                <w:sz w:val="20"/>
                <w:szCs w:val="20"/>
              </w:rPr>
              <w:t xml:space="preserve">Contingency for key personnel changes</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B050" w:sz="1"/>
              <w:left w:val="single" w:color="00B050" w:sz="1"/>
              <w:bottom w:val="single" w:color="00B050" w:sz="1"/>
              <w:right w:val="single" w:color="00B050" w:sz="1"/>
            </w:tcBorders>
            <w:shd w:fill="E2F0D9" w:val="clear"/>
          </w:tcPr>
          <w:p>
            <w:pPr>
              <w:spacing w:after="80"/>
            </w:pPr>
            <w:r>
              <w:rPr>
                <w:b/>
                <w:bCs/>
                <w:color w:val="00B050"/>
                <w:sz w:val="18"/>
                <w:szCs w:val="18"/>
                <w:smallCaps/>
              </w:rPr>
              <w:t xml:space="preserve">WIN THEMES &amp; DISCRIMINATORS</w:t>
            </w:r>
          </w:p>
          <w:p>
            <w:pPr>
              <w:pStyle w:val="ListParagraph"/>
              <w:numPr>
                <w:ilvl w:val="0"/>
                <w:numId w:val="2"/>
              </w:numPr>
            </w:pPr>
            <w:r>
              <w:rPr>
                <w:i/>
                <w:iCs/>
                <w:color w:val="404040"/>
                <w:sz w:val="20"/>
                <w:szCs w:val="20"/>
              </w:rPr>
              <w:t xml:space="preserve">[Add differentiators to Company Library for auto-population]</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D7D31" w:sz="1"/>
              <w:left w:val="single" w:color="ED7D31" w:sz="1"/>
              <w:bottom w:val="single" w:color="ED7D31" w:sz="1"/>
              <w:right w:val="single" w:color="ED7D31" w:sz="1"/>
            </w:tcBorders>
            <w:shd w:fill="FFF2CC" w:val="clear"/>
          </w:tcPr>
          <w:p>
            <w:pPr>
              <w:spacing w:after="80"/>
            </w:pPr>
            <w:r>
              <w:rPr>
                <w:b/>
                <w:bCs/>
                <w:color w:val="ED7D31"/>
                <w:sz w:val="18"/>
                <w:szCs w:val="18"/>
                <w:smallCaps/>
              </w:rPr>
              <w:t xml:space="preserve">PROOF POINTS REQUIRED</w:t>
            </w:r>
          </w:p>
          <w:p>
            <w:pPr>
              <w:pStyle w:val="ListParagraph"/>
              <w:numPr>
                <w:ilvl w:val="0"/>
                <w:numId w:val="2"/>
              </w:numPr>
            </w:pPr>
            <w:r>
              <w:rPr>
                <w:i/>
                <w:iCs/>
                <w:color w:val="404040"/>
                <w:sz w:val="20"/>
                <w:szCs w:val="20"/>
              </w:rPr>
              <w:t xml:space="preserve">[Add past performance evidence to Company Library]</w:t>
            </w:r>
          </w:p>
        </w:tc>
      </w:tr>
    </w:tbl>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5B9BD5" w:sz="1"/>
              <w:left w:val="dashed" w:color="5B9BD5" w:sz="1"/>
              <w:bottom w:val="dashed" w:color="5B9BD5" w:sz="1"/>
              <w:right w:val="dashed" w:color="5B9BD5" w:sz="1"/>
            </w:tcBorders>
            <w:shd w:fill="DEEBF7" w:val="clear"/>
          </w:tcPr>
          <w:p>
            <w:pPr>
              <w:spacing w:after="80"/>
            </w:pPr>
            <w:r>
              <w:rPr>
                <w:b/>
                <w:bCs/>
                <w:color w:val="5B9BD5"/>
                <w:sz w:val="18"/>
                <w:szCs w:val="18"/>
                <w:smallCaps/>
              </w:rPr>
              <w:t xml:space="preserve">PLANNED GRAPHICS</w:t>
            </w:r>
          </w:p>
          <w:p>
            <w:r>
              <w:rPr>
                <w:i/>
                <w:iCs/>
                <w:sz w:val="20"/>
                <w:szCs w:val="20"/>
              </w:rPr>
              <w:t xml:space="preserve">Graphic 1: [Description of planned visual]</w:t>
            </w:r>
          </w:p>
          <w:p>
            <w:pPr>
              <w:ind w:left="360"/>
            </w:pPr>
            <w:r>
              <w:rPr>
                <w:color w:val="404040"/>
                <w:sz w:val="18"/>
                <w:szCs w:val="18"/>
              </w:rPr>
              <w:t xml:space="preserve">Action Caption: [Caption should convey key benefit, not just describe the figure]</w:t>
            </w:r>
          </w:p>
          <w:p>
            <w:pPr>
              <w:spacing w:before="80"/>
            </w:pPr>
            <w:r>
              <w:rPr>
                <w:i/>
                <w:iCs/>
                <w:sz w:val="20"/>
                <w:szCs w:val="20"/>
              </w:rPr>
              <w:t xml:space="preserve">Graphic 2: [Description]</w:t>
            </w:r>
          </w:p>
          <w:p>
            <w:pPr>
              <w:ind w:left="360"/>
            </w:pPr>
            <w:r>
              <w:rPr>
                <w:color w:val="404040"/>
                <w:sz w:val="18"/>
                <w:szCs w:val="18"/>
              </w:rPr>
              <w:t xml:space="preserve">Action Caption: [Caption text]</w:t>
            </w:r>
          </w:p>
        </w:tc>
      </w:tr>
    </w:tbl>
    <w:p>
      <w:pPr>
        <w:shd w:fill="F2F2F2" w:val="clear"/>
        <w:spacing w:before="120" w:after="120"/>
        <w:ind w:left="180" w:right="180"/>
      </w:pPr>
      <w:r>
        <w:rPr>
          <w:b/>
          <w:bCs/>
          <w:color w:val="808080"/>
          <w:sz w:val="18"/>
          <w:szCs w:val="18"/>
          <w:smallCaps/>
        </w:rPr>
        <w:t xml:space="preserve">BOILERPLATE GUIDANCE: </w:t>
      </w:r>
      <w:r>
        <w:rPr>
          <w:i/>
          <w:iCs/>
          <w:color w:val="808080"/>
          <w:sz w:val="18"/>
          <w:szCs w:val="18"/>
        </w:rPr>
        <w:t xml:space="preserve">[Specify: New content required / Adapt from [source] / Use standard boilerplate with tailoring]</w:t>
      </w:r>
    </w:p>
    <w:p>
      <w:pPr>
        <w:pBdr>
          <w:bottom w:val="dashed" w:color="404040" w:sz="1"/>
        </w:pBdr>
        <w:spacing w:before="200" w:after="100"/>
      </w:pPr>
      <w:r>
        <w:rPr>
          <w:b/>
          <w:bCs/>
          <w:color w:val="404040"/>
          <w:sz w:val="24"/>
          <w:szCs w:val="24"/>
        </w:rPr>
        <w:t xml:space="preserve">CONTENT AREA</w:t>
      </w:r>
    </w:p>
    <w:p>
      <w:pPr>
        <w:spacing w:after="100"/>
      </w:pPr>
      <w:r>
        <w:rPr>
          <w:i/>
          <w:iCs/>
          <w:color w:val="404040"/>
          <w:sz w:val="20"/>
          <w:szCs w:val="20"/>
        </w:rPr>
        <w:t xml:space="preserve">[Writer: Begin proposal content here. Address ALL requirements above.]</w:t>
      </w:r>
    </w:p>
    <w:p>
      <w:pPr>
        <w:spacing w:after="100"/>
      </w:pPr>
    </w:p>
    <w:p>
      <w:pPr>
        <w:spacing w:after="100"/>
      </w:pPr>
    </w:p>
    <w:p>
      <w:pPr>
        <w:spacing w:after="100"/>
      </w:pPr>
    </w:p>
    <w:p>
      <w:pPr>
        <w:spacing w:after="100"/>
      </w:pPr>
    </w:p>
    <w:p>
      <w:pPr>
        <w:spacing w:after="100"/>
      </w:pP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04040"/>
        <w:sz w:val="16"/>
        <w:szCs w:val="16"/>
      </w:rPr>
      <w:t xml:space="preserve">[Your Company Name] PROPRIETARY - </w:t>
    </w:r>
    <w:r>
      <w:rPr>
        <w:sz w:val="16"/>
        <w:szCs w:val="16"/>
      </w:rPr>
      <w:t xml:space="preserve">Page </w:t>
    </w:r>
    <w:r>
      <w:rPr>
        <w:sz w:val="16"/>
        <w:szCs w:val="16"/>
      </w:rPr>
      <w:fldChar w:fldCharType="begin"/>
      <w:instrText xml:space="preserve">PAGE</w:instrText>
      <w:fldChar w:fldCharType="separate"/>
      <w:fldChar w:fldCharType="end"/>
    </w:r>
    <w:r>
      <w:rPr>
        <w:sz w:val="16"/>
        <w:szCs w:val="16"/>
      </w:rPr>
      <w:t xml:space="preserve"> of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404040"/>
        <w:sz w:val="18"/>
        <w:szCs w:val="18"/>
      </w:rPr>
      <w:t xml:space="preserve">Proposal Response to RFP-092C7508 - ANNOTATED OUTLINE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b/>
      <w:bCs/>
      <w:color w:val="000000"/>
      <w:sz w:val="48"/>
      <w:szCs w:val="48"/>
      <w:rFonts w:ascii="Arial" w:cs="Arial" w:eastAsia="Arial" w:hAnsi="Arial"/>
    </w:rPr>
  </w:style>
  <w:style w:type="paragraph" w:styleId="Heading1">
    <w:name w:val="Heading 1"/>
    <w:basedOn w:val="Normal"/>
    <w:next w:val="Normal"/>
    <w:qFormat/>
    <w:pPr>
      <w:spacing w:before="360" w:after="120"/>
      <w:outlineLvl w:val="0"/>
    </w:pPr>
    <w:rPr>
      <w:b/>
      <w:bCs/>
      <w:color w:val="000000"/>
      <w:sz w:val="32"/>
      <w:szCs w:val="32"/>
      <w:rFonts w:ascii="Arial" w:cs="Arial" w:eastAsia="Arial" w:hAnsi="Arial"/>
    </w:rPr>
  </w:style>
  <w:style w:type="paragraph" w:styleId="Heading2">
    <w:name w:val="Heading 2"/>
    <w:basedOn w:val="Normal"/>
    <w:next w:val="Normal"/>
    <w:qFormat/>
    <w:pPr>
      <w:spacing w:before="240" w:after="120"/>
      <w:outlineLvl w:val="1"/>
    </w:pPr>
    <w:rPr>
      <w:b/>
      <w:bCs/>
      <w:color w:val="404040"/>
      <w:sz w:val="26"/>
      <w:szCs w:val="26"/>
      <w:rFonts w:ascii="Arial" w:cs="Arial" w:eastAsia="Arial" w:hAnsi="Arial"/>
    </w:rPr>
  </w:style>
  <w:style w:type="paragraph" w:styleId="Heading3">
    <w:name w:val="Heading 3"/>
    <w:basedOn w:val="Normal"/>
    <w:next w:val="Normal"/>
    <w:qFormat/>
    <w:pPr>
      <w:spacing w:before="200" w:after="100"/>
      <w:outlineLvl w:val="2"/>
    </w:pPr>
    <w:rPr>
      <w:b/>
      <w:bCs/>
      <w:color w:val="404040"/>
      <w:sz w:val="24"/>
      <w:szCs w:val="24"/>
      <w:rFonts w:ascii="Arial" w:cs="Arial" w:eastAsia="Arial" w:hAnsi="Arial"/>
    </w:rPr>
  </w:style>
  <w:style w:type="paragraph" w:styleId="AnnotationLabel">
    <w:name w:val="Annotation Label"/>
    <w:basedOn w:val="Normal"/>
    <w:pPr>
      <w:spacing w:before="60" w:after="40"/>
    </w:pPr>
    <w:rPr>
      <w:b/>
      <w:bCs/>
      <w:sz w:val="18"/>
      <w:szCs w:val="18"/>
      <w:smallCaps/>
      <w:rFonts w:ascii="Arial" w:cs="Arial" w:eastAsia="Arial" w:hAnsi="Arial"/>
    </w:rPr>
  </w:style>
  <w:style w:type="paragraph" w:styleId="RequirementText">
    <w:name w:val="Requirement Text"/>
    <w:basedOn w:val="Normal"/>
    <w:pPr>
      <w:spacing w:before="40" w:after="40"/>
      <w:ind w:left="360"/>
    </w:pPr>
    <w:rPr>
      <w:i/>
      <w:iCs/>
      <w:sz w:val="20"/>
      <w:szCs w:val="20"/>
      <w:rFonts w:ascii="Arial" w:cs="Arial" w:eastAsia="Arial" w:hAnsi="Arial"/>
    </w:rPr>
  </w:style>
  <w:style w:type="paragraph" w:styleId="WriterGuidance">
    <w:name w:val="Writer Guidance"/>
    <w:basedOn w:val="Normal"/>
    <w:pPr>
      <w:spacing w:before="80" w:after="80"/>
      <w:ind w:left="360"/>
    </w:pPr>
    <w:rPr>
      <w:color w:val="404040"/>
      <w:sz w:val="20"/>
      <w:szCs w:val="20"/>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2025-12-22T19:51:35.850Z</dcterms:created>
  <dcterms:modified xsi:type="dcterms:W3CDTF">2025-12-22T19:51:35.866Z</dcterms:modified>
</cp:coreProperties>
</file>

<file path=docProps/custom.xml><?xml version="1.0" encoding="utf-8"?>
<Properties xmlns="http://schemas.openxmlformats.org/officeDocument/2006/custom-properties" xmlns:vt="http://schemas.openxmlformats.org/officeDocument/2006/docPropsVTypes"/>
</file>