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AGP Milestone Recovery Playbook</w:t>
      </w:r>
    </w:p>
    <w:p>
      <w:pPr>
        <w:pStyle w:val="Heading1"/>
      </w:pPr>
      <w:r>
        <w:t>When to Trigger</w:t>
      </w:r>
    </w:p>
    <w:p>
      <w:r>
        <w:t>A recovery plan is triggered when milestone attainment falls below target with limited days remaining, or when the AGP off-track risk score enters the attention band (40+).</w:t>
      </w:r>
    </w:p>
    <w:p>
      <w:pPr>
        <w:pStyle w:val="Heading1"/>
      </w:pPr>
      <w:r>
        <w:t>Diagnose the Gap</w:t>
      </w:r>
    </w:p>
    <w:p>
      <w:r>
        <w:t>Decompose the risk score into its drivers: attainment gap, time pressure and CRM execution risk. Overdue lead and referral follow-ups are the most common and most recoverable driver.</w:t>
      </w:r>
    </w:p>
    <w:p>
      <w:pPr>
        <w:pStyle w:val="Heading1"/>
      </w:pPr>
      <w:r>
        <w:t>Recovery Actions</w:t>
      </w:r>
    </w:p>
    <w:p>
      <w:r>
        <w:t>Work overdue follow-ups oldest-first, refresh the next action on every open opportunity, advance or close stage-stalled deals, and book a coaching session before the milestone due date. Recovery plans name specific activities and dates, never generic intentions.</w:t>
      </w:r>
    </w:p>
    <w:p>
      <w:pPr>
        <w:pStyle w:val="Heading1"/>
      </w:pPr>
      <w:r>
        <w:t>Escalation</w:t>
      </w:r>
    </w:p>
    <w:p>
      <w:r>
        <w:t>Persisting off-track status escalates to the district coach. Good-faith self-reported gaps are treated as mitigating and coached, not penalized.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