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Managed Account Program — Operating Procedures</w:t>
      </w:r>
    </w:p>
    <w:p>
      <w:pPr>
        <w:pStyle w:val="Heading1"/>
      </w:pPr>
      <w:r>
        <w:t>Eligibility &amp; Onboarding</w:t>
      </w:r>
    </w:p>
    <w:p>
      <w:r>
        <w:t>Households are eligible for a managed mandate when investable assets and suitability support discretionary management. Onboarding requires a signed advisory agreement, a documented investment policy statement, and a funded account within thirty days.</w:t>
      </w:r>
    </w:p>
    <w:p>
      <w:pPr>
        <w:pStyle w:val="Heading1"/>
      </w:pPr>
      <w:r>
        <w:t>Model Assignment</w:t>
      </w:r>
    </w:p>
    <w:p>
      <w:r>
        <w:t>Each account is mapped to an approved model portfolio aligned to the household's risk profile. Off-model positions require a documented exception and quarterly review.</w:t>
      </w:r>
    </w:p>
    <w:p>
      <w:pPr>
        <w:pStyle w:val="Heading1"/>
      </w:pPr>
      <w:r>
        <w:t>Rebalancing</w:t>
      </w:r>
    </w:p>
    <w:p>
      <w:r>
        <w:t>Accounts are drift-band rebalanced. Advisors should surface managed-account conversion opportunities for high-AUM households with low managed penetration and document suitability for the mandate before presenting.</w:t>
      </w:r>
    </w:p>
    <w:p>
      <w:pPr>
        <w:pStyle w:val="Heading1"/>
      </w:pPr>
      <w:r>
        <w:t>Fee Transparency</w:t>
      </w:r>
    </w:p>
    <w:p>
      <w:r>
        <w:t>At the point of recommendation the client must receive the program fee schedule and a plain-language statement of how the advisor is compensated. For brokerage-to-advisory transfers a cost comparison worksheet is mandatory.</w:t>
      </w:r>
    </w:p>
    <w:p>
      <w:pPr>
        <w:pStyle w:val="Heading1"/>
      </w:pPr>
      <w:r>
        <w:t>Ongoing Review</w:t>
      </w:r>
    </w:p>
    <w:p>
      <w:r>
        <w:t>Every advised household receives a documented review at least once every twelve months capturing current objectives, risk-tolerance confirmation, and any material life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