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0"/>
          <w:szCs w:val="40"/>
        </w:rPr>
        <w:t xml:space="preserve">iPerform Insights &amp; Coaching</w:t>
      </w:r>
    </w:p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6"/>
          <w:szCs w:val="26"/>
        </w:rPr>
        <w:t xml:space="preserve">Application Pages, Components &amp; Technology Overview</w:t>
      </w:r>
    </w:p>
    <w:p>
      <w:pPr>
        <w:pBdr>
          <w:bottom w:val="single" w:color="2E5496" w:sz="12"/>
        </w:pBdr>
        <w:spacing w:after="200"/>
      </w:pPr>
      <w:r>
        <w:rPr>
          <w:sz w:val="2"/>
          <w:szCs w:val="2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Introduction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iPerform Insights &amp; Coaching is an enterprise wealth-management intelligence and coaching platform for financial advisors and their leadership. It is built on a TigerGraph temporal knowledge graph as the system of record, a real agentic AI system (graph reasoning, similarity, predictions, multi-agent orchestration, memory, retrieval-augmented answers, guardrails and a reinforcement-learning feedback loop), a FastAPI backend and a Next.js front end.</w:t>
      </w:r>
    </w:p>
    <w:p>
      <w:pPr>
        <w:spacing w:after="2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document summarizes the platform in two parts: the data sources and technologies that power it, and the complete set of application pages available from the left-hand navigation, with the key components on each page.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1.  Data Sources &amp; Technologies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2E5496"/>
          <w:sz w:val="18"/>
          <w:szCs w:val="18"/>
        </w:rPr>
        <w:t xml:space="preserve">AI / ML capabilities are shown in bold.</w:t>
      </w:r>
    </w:p>
    <w:tbl>
      <w:tblPr>
        <w:tblW w:type="dxa" w:w="9360"/>
        <w:tblBorders>
          <w:top w:val="single" w:color="8FA9CE" w:sz="4"/>
          <w:left w:val="single" w:color="8FA9CE" w:sz="4"/>
          <w:bottom w:val="single" w:color="8FA9CE" w:sz="4"/>
          <w:right w:val="single" w:color="8FA9CE" w:sz="4"/>
          <w:insideH w:val="single" w:color="auto" w:sz="4"/>
          <w:insideV w:val="single" w:color="auto" w:sz="4"/>
        </w:tblBorders>
      </w:tblPr>
      <w:tblGrid>
        <w:gridCol w:w="2350"/>
        <w:gridCol w:w="4160"/>
        <w:gridCol w:w="2850"/>
      </w:tblGrid>
      <w:tr>
        <w:trPr>
          <w:tblHeader/>
        </w:trPr>
        <w:tc>
          <w:tcPr>
            <w:tcW w:type="dxa" w:w="2350"/>
            <w:shd w:fill="D9E1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Data Source / Layer</w:t>
            </w:r>
          </w:p>
        </w:tc>
        <w:tc>
          <w:tcPr>
            <w:tcW w:type="dxa" w:w="4160"/>
            <w:shd w:fill="D9E1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What It Is Used For</w:t>
            </w:r>
          </w:p>
        </w:tc>
        <w:tc>
          <w:tcPr>
            <w:tcW w:type="dxa" w:w="2850"/>
            <w:shd w:fill="D9E1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9360"/>
            <w:gridSpan w:val="3"/>
            <w:shd w:fill="BDD0EE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Data Stores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Temporal knowledge graph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Authoritative system of record — advisors, households, accounts, transactions, CRM, AGP, recommendations, opportunities and memory. Multi-hop traversal, hierarchy roll-ups and point-in-time (“as-of”) queries. ~60 vertex types / 132 edge types.</w:t>
            </w:r>
          </w:p>
        </w:tc>
        <w:tc>
          <w:tcPr>
            <w:tcW w:type="dxa" w:w="2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TigerGraph 4.2.x; GSQL V1 queries (GQ-001–062); pyTigerGraph 2.0.1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Feature store &amp; durable state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Per-entity feature snapshots, model outputs, checkpoints, learning weights, impact-ledger mirror and durable application state (graph-authoritative with a fast local cache).</w:t>
            </w:r>
          </w:p>
        </w:tc>
        <w:tc>
          <w:tcPr>
            <w:tcW w:type="dxa" w:w="2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SQLite / aiosqlite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Vector store (RAG)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Embeddings of knowledge, playbook and compliance documents for retrieval-augmented answers.</w:t>
            </w:r>
          </w:p>
        </w:tc>
        <w:tc>
          <w:tcPr>
            <w:tcW w:type="dxa" w:w="2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ChromaDB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GNN embedding store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Trained GraphSAGE node embeddings (advisors, households, accounts) served for peer and household similarity.</w:t>
            </w:r>
          </w:p>
        </w:tc>
        <w:tc>
          <w:tcPr>
            <w:tcW w:type="dxa" w:w="2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SQLite (gnn_embeddings)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Source-of-truth data manifest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manifest that loads and validates source data into TigerGraph (batch, checkpoint, retry).</w:t>
            </w:r>
          </w:p>
        </w:tc>
        <w:tc>
          <w:tcPr>
            <w:tcW w:type="dxa" w:w="2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CSV + pandas ingestion</w:t>
            </w:r>
          </w:p>
        </w:tc>
      </w:tr>
      <w:tr>
        <w:tc>
          <w:tcPr>
            <w:tcW w:type="dxa" w:w="9360"/>
            <w:gridSpan w:val="3"/>
            <w:shd w:fill="BDD0EE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AI / ML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Large Language Model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Q&amp;A coaching assistant, AI-summarized revenue drivers, insights and reasoning narration.</w:t>
            </w:r>
          </w:p>
        </w:tc>
        <w:tc>
          <w:tcPr>
            <w:tcW w:type="dxa" w:w="2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cdao Azure OpenAI (GPT-4o) via LangChain / LangGraph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Text embeddings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Semantic similarity and RAG document retrieval.</w:t>
            </w:r>
          </w:p>
        </w:tc>
        <w:tc>
          <w:tcPr>
            <w:tcW w:type="dxa" w:w="2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cdao text-embedding-3-large (3072-dim)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Graph neural network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GraphSAGE self-supervised embeddings over the graph for similarity and peer benchmarking.</w:t>
            </w:r>
          </w:p>
        </w:tc>
        <w:tc>
          <w:tcPr>
            <w:tcW w:type="dxa" w:w="2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PyTorch; PyTorch Geometric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Predictive models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Revenue-decline, household-churn, AGP off-track, revenue forecast, anomaly detection and federated fine-tuning.</w:t>
            </w:r>
          </w:p>
        </w:tc>
        <w:tc>
          <w:tcPr>
            <w:tcW w:type="dxa" w:w="2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scikit-learn; XGBoost; PyTorch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Graph algorithms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In-application graph analytics (centrality, paths, neighborhoods).</w:t>
            </w:r>
          </w:p>
        </w:tc>
        <w:tc>
          <w:tcPr>
            <w:tcW w:type="dxa" w:w="2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NetworkX (optional TigerGraph GDS)</w:t>
            </w:r>
          </w:p>
        </w:tc>
      </w:tr>
      <w:tr>
        <w:tc>
          <w:tcPr>
            <w:tcW w:type="dxa" w:w="9360"/>
            <w:gridSpan w:val="3"/>
            <w:shd w:fill="BDD0EE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Agentic AI Orchestration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Multi-agent orchestration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Supervisor and specialist agents, tool calls, routing, reasoning traces and a reinforcement-learning feedback loop.</w:t>
            </w:r>
          </w:p>
        </w:tc>
        <w:tc>
          <w:tcPr>
            <w:tcW w:type="dxa" w:w="2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LangGraph; LangChain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Memory system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Temporal context memory, reasoning traces and learning signals.</w:t>
            </w:r>
          </w:p>
        </w:tc>
        <w:tc>
          <w:tcPr>
            <w:tcW w:type="dxa" w:w="2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TigerGraph + SQLite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Guardrails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Input and output safety on both the chat and agentic paths.</w:t>
            </w:r>
          </w:p>
        </w:tc>
        <w:tc>
          <w:tcPr>
            <w:tcW w:type="dxa" w:w="2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Guardrail layer</w:t>
            </w:r>
          </w:p>
        </w:tc>
      </w:tr>
      <w:tr>
        <w:tc>
          <w:tcPr>
            <w:tcW w:type="dxa" w:w="9360"/>
            <w:gridSpan w:val="3"/>
            <w:shd w:fill="BDD0EE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Platform &amp; Access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Tiered graph client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Resilient graph access: pyTigerGraph (live) → REST++ → in-memory fallback, with an identical result contract across tiers.</w:t>
            </w:r>
          </w:p>
        </w:tc>
        <w:tc>
          <w:tcPr>
            <w:tcW w:type="dxa" w:w="2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pyTigerGraph; REST++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Approximately 146 REST endpoints serving every page.</w:t>
            </w:r>
          </w:p>
        </w:tc>
        <w:tc>
          <w:tcPr>
            <w:tcW w:type="dxa" w:w="2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FastAPI; Uvicorn; Pydantic 2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Interactive UI, charts, graph and agent visualizations, and maps.</w:t>
            </w:r>
          </w:p>
        </w:tc>
        <w:tc>
          <w:tcPr>
            <w:tcW w:type="dxa" w:w="2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Next.js 15; React 19; TypeScript; TailwindCSS; Recharts; ReactFlow; d3-geo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Observability &amp; logging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Structured, CloudWatch-ready logs and agent latency / error tracing.</w:t>
            </w:r>
          </w:p>
        </w:tc>
        <w:tc>
          <w:tcPr>
            <w:tcW w:type="dxa" w:w="2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Structured logging</w:t>
            </w:r>
          </w:p>
        </w:tc>
      </w:tr>
    </w:tbl>
    <w:p>
      <w:pPr>
        <w:spacing w:after="24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2.  Application Pages &amp; Components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2E5496"/>
          <w:sz w:val="18"/>
          <w:szCs w:val="18"/>
        </w:rPr>
        <w:t xml:space="preserve">Pages are grouped as they appear in the left-hand navigation.</w:t>
      </w:r>
    </w:p>
    <w:tbl>
      <w:tblPr>
        <w:tblW w:type="dxa" w:w="9360"/>
        <w:tblBorders>
          <w:top w:val="single" w:color="8FA9CE" w:sz="4"/>
          <w:left w:val="single" w:color="8FA9CE" w:sz="4"/>
          <w:bottom w:val="single" w:color="8FA9CE" w:sz="4"/>
          <w:right w:val="single" w:color="8FA9CE" w:sz="4"/>
          <w:insideH w:val="single" w:color="auto" w:sz="4"/>
          <w:insideV w:val="single" w:color="auto" w:sz="4"/>
        </w:tblBorders>
      </w:tblPr>
      <w:tblGrid>
        <w:gridCol w:w="2050"/>
        <w:gridCol w:w="2950"/>
        <w:gridCol w:w="4360"/>
      </w:tblGrid>
      <w:tr>
        <w:trPr>
          <w:tblHeader/>
        </w:trPr>
        <w:tc>
          <w:tcPr>
            <w:tcW w:type="dxa" w:w="2050"/>
            <w:shd w:fill="D9E1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Page (Left-Nav)</w:t>
            </w:r>
          </w:p>
        </w:tc>
        <w:tc>
          <w:tcPr>
            <w:tcW w:type="dxa" w:w="2950"/>
            <w:shd w:fill="D9E1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Purpose</w:t>
            </w:r>
          </w:p>
        </w:tc>
        <w:tc>
          <w:tcPr>
            <w:tcW w:type="dxa" w:w="4360"/>
            <w:shd w:fill="D9E1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Key Components</w:t>
            </w:r>
          </w:p>
        </w:tc>
      </w:tr>
      <w:tr>
        <w:tc>
          <w:tcPr>
            <w:tcW w:type="dxa" w:w="9360"/>
            <w:gridSpan w:val="3"/>
            <w:shd w:fill="BDD0EE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Executive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Executive Dashboard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Firm / scope performance overview.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KPI cards (Revenue, AUM, NNM, NCF); Top &amp; Bottom Advisors leaderboard (period-windowed); prior-year comparison; insights panel; coaching summary; hierarchy / scope performance; markets breakdown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Revenue Analytics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Revenue trends and drilldowns.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Header cards (Total Revenue, Transactions, Avg/Advisor, Top Business Line); monthly trend chart; product mix; by-channel / business-line drilldowns; transaction lineage; evidence panel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Revenue Trend Explorer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Revenue per period by dimension.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Dimension selector and granularity control; per-period revenue chart; AI-summarized drivers per period; period bullets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Business Impact &amp; ROI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Recorded platform impact.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“What the platform has driven” summary; revenue driven; recommendations acted on; acceptance and completion rates (from the real impact ledger)</w:t>
            </w:r>
          </w:p>
        </w:tc>
      </w:tr>
      <w:tr>
        <w:tc>
          <w:tcPr>
            <w:tcW w:type="dxa" w:w="9360"/>
            <w:gridSpan w:val="3"/>
            <w:shd w:fill="BDD0EE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Advisor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Advisor 360 / Client 360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Full advisor profile.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Revenue Trend; Book by Account Type; Households by Segment; CRM Pipeline; CRM Execution · Opportunities; Activity Pattern Review; Referral Network Position; AGP Status; Similar Households / Accounts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AGP Goals &amp; Coaching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Advisor Growth Program.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AGP Risk Score; Milestone Attainment; Program Month / Months Elapsed / Remaining / Days to Milestone; Cohort; AI KPI Insights; explanation panel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Client Intelligence 360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Household profile.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Accounts and product holdings; transactions; AI recommendations (Priority / Impact / Confidence); Managed Ratio; Revenue; “How this was reached” evidence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Coaching &amp; Reviews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Coaching per advisor.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Coaching Sessions; Open Coaching Tasks (with task templates); Manager Reviews; Avg Review Rating; evidence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CRM Activities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Advisor CRM work.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Leads; Referrals; Open Opportunities; Overdue Items; pipeline stages; Next Step / Source / Outcome / Amount / Status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Peer Benchmarking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Percentile vs peer group.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Percentile radar (metric-by-metric); Metric Detail; nearest peers from the similarity / GNN model</w:t>
            </w:r>
          </w:p>
        </w:tc>
      </w:tr>
      <w:tr>
        <w:tc>
          <w:tcPr>
            <w:tcW w:type="dxa" w:w="9360"/>
            <w:gridSpan w:val="3"/>
            <w:shd w:fill="BDD0EE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AI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What-If Simulator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Scenario modeling.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Scenario Simulator; Scenario Levers (meeting frequency, prospecting, goal reviews, product mix, AUM growth); Horizon; Projected Impact; Save as Recommendation; evidence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Prediction &amp; Forecasting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Model predictions.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 predictions; Avg confidence; Highest risk; Feature contributions; “How this was derived”; snapshot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Guided Story Mode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End-to-end narrated journey.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One journey: detect a risk → explain → act → watch measured impact propagate → system learns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Opportunities &amp; Recommendations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Recommendation workflow.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 recommendations queue; estimated / captured impact; evidence; compliance; action workflow; feature snapshot; learning families; net reward; “What changed”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Impact Ledger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Recorded consequences.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Completed Recommendations; Advisors Affected; Latest Completion; Lifecycle Timeline; Impact by Family; linked Opportunity; evidence chain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Recommendation Impact / ROI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Outcomes and learning.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Accept Rate; Captured Impact; Cumulative Reward; Feedback Events; per-recommendation Family / Priority / Impact; evidence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iPerform Coach Q&amp;A Assistant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Reactive AI assistant.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Chat assistant; agent reasoning path; evidence, tool calls and agent steps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Knowledge / Playbooks / Compliance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RAG and guidance.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Corpus; RAG grounded answer; playbooks; compliance documents; guardrails</w:t>
            </w:r>
          </w:p>
        </w:tc>
      </w:tr>
      <w:tr>
        <w:tc>
          <w:tcPr>
            <w:tcW w:type="dxa" w:w="9360"/>
            <w:gridSpan w:val="3"/>
            <w:shd w:fill="BDD0EE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Graph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Knowledge Graph Explorer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Interactive graph.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Graph canvas (advisor / household / account / product / memory / recommendation / opportunity); Node Detail; point-in-time control; evidence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Feature Store / Embeddings / Similarity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ML feature lab.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Feature Engineering Lab; Feature Groups and count; Embedding projection; Similar advisors; snapshot / version; as-of control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Memory Timeline &amp; Explainability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Reasoning transparency.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Memory Timeline; Reasoning steps; Lineage chain; evidence; Explainability Explorer</w:t>
            </w:r>
          </w:p>
        </w:tc>
      </w:tr>
      <w:tr>
        <w:tc>
          <w:tcPr>
            <w:tcW w:type="dxa" w:w="9360"/>
            <w:gridSpan w:val="3"/>
            <w:shd w:fill="BDD0EE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Operations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Agent Orchestration &amp; Observability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Agent runtime trace.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Supervisor / agent flow graph; Agent Tasks; Final Agent; Decision / Output; Duration; Confidence with “How Confidence Was Computed”; Evidence Items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Data Ingestion &amp; Sync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Load and sync.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CSV upload; manifest; validation; progress; retry / resume; load status; vertex / edge counts</w:t>
            </w:r>
          </w:p>
        </w:tc>
      </w:tr>
      <w:tr>
        <w:tc>
          <w:tcPr>
            <w:tcW w:type="dxa" w:w="9360"/>
            <w:gridSpan w:val="3"/>
            <w:shd w:fill="BDD0EE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Admin / Data Quality / Runtime Health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Data quality and runtime.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Ingestion Entities; Vertex / Edge Rows; Row-Count Mismatches; trend across runs; freshness; REST / store / Chroma / SQLite status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Connection &amp; Environment Health</w:t>
            </w:r>
          </w:p>
        </w:tc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Setup verification.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Live green / red tests for TigerGraph, LLM, Embedding and Chroma; active tier and counts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2026-07-13T05:02:19.350Z</dcterms:created>
  <dcterms:modified xsi:type="dcterms:W3CDTF">2026-07-13T05:02:19.365Z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