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58C" w:rsidRPr="003013DE" w:rsidRDefault="00540B3D" w:rsidP="003013DE">
      <w:pPr>
        <w:widowControl/>
        <w:spacing w:line="480" w:lineRule="auto"/>
        <w:jc w:val="center"/>
        <w:rPr>
          <w:rFonts w:ascii="Georgia" w:hAnsi="Georgia"/>
        </w:rPr>
      </w:pPr>
      <w:r w:rsidRPr="003013DE">
        <w:rPr>
          <w:rFonts w:ascii="Georgia" w:hAnsi="Georgia"/>
        </w:rPr>
        <w:t>FORECASTING THE 2012 ELECTION WITH THE FISCAL MODEL</w:t>
      </w:r>
    </w:p>
    <w:p w:rsidR="001A658C" w:rsidRPr="003013DE" w:rsidRDefault="001A658C" w:rsidP="00BF3D07">
      <w:pPr>
        <w:widowControl/>
        <w:spacing w:line="480" w:lineRule="auto"/>
        <w:jc w:val="center"/>
        <w:outlineLvl w:val="0"/>
        <w:rPr>
          <w:rFonts w:ascii="Georgia" w:hAnsi="Georgia"/>
        </w:rPr>
      </w:pPr>
      <w:r w:rsidRPr="003013DE">
        <w:rPr>
          <w:rFonts w:ascii="Georgia" w:hAnsi="Georgia"/>
        </w:rPr>
        <w:t xml:space="preserve">Alfred G. </w:t>
      </w:r>
      <w:proofErr w:type="spellStart"/>
      <w:r w:rsidRPr="003013DE">
        <w:rPr>
          <w:rFonts w:ascii="Georgia" w:hAnsi="Georgia"/>
        </w:rPr>
        <w:t>Cuzán</w:t>
      </w:r>
      <w:proofErr w:type="spellEnd"/>
      <w:r w:rsidRPr="003013DE">
        <w:rPr>
          <w:rFonts w:ascii="Georgia" w:hAnsi="Georgia"/>
        </w:rPr>
        <w:t xml:space="preserve"> </w:t>
      </w:r>
    </w:p>
    <w:p w:rsidR="001A658C" w:rsidRPr="003013DE" w:rsidRDefault="001A658C" w:rsidP="003013DE">
      <w:pPr>
        <w:widowControl/>
        <w:spacing w:line="480" w:lineRule="auto"/>
        <w:ind w:firstLine="720"/>
        <w:rPr>
          <w:rFonts w:ascii="Georgia" w:hAnsi="Georgia"/>
        </w:rPr>
      </w:pPr>
      <w:r w:rsidRPr="003013DE">
        <w:rPr>
          <w:rFonts w:ascii="Georgia" w:hAnsi="Georgia"/>
        </w:rPr>
        <w:t>In March 2009, at a time when President Obama was basking in the glow of the honeymoon with the public every new president enjoys, I asked, “Will Barack Obama Be a One-Term President?”</w:t>
      </w:r>
      <w:r w:rsidRPr="003013DE">
        <w:rPr>
          <w:rStyle w:val="EndnoteReference"/>
          <w:rFonts w:ascii="Georgia" w:hAnsi="Georgia"/>
        </w:rPr>
        <w:endnoteReference w:id="2"/>
      </w:r>
      <w:r w:rsidRPr="003013DE">
        <w:rPr>
          <w:rFonts w:ascii="Georgia" w:hAnsi="Georgia"/>
        </w:rPr>
        <w:t xml:space="preserve">  What prompted me to pose so impertinent a question at so hopeful a time was that the OMB was projecting  that that year the federal government would spend more than 25% of gross domestic product, or nea</w:t>
      </w:r>
      <w:bookmarkStart w:id="0" w:name="_GoBack"/>
      <w:bookmarkEnd w:id="0"/>
      <w:r w:rsidRPr="003013DE">
        <w:rPr>
          <w:rFonts w:ascii="Georgia" w:hAnsi="Georgia"/>
        </w:rPr>
        <w:t>rly 5% points more than the in previous year, the largest peacetime one-year increase since 1930.</w:t>
      </w:r>
      <w:r w:rsidRPr="003013DE">
        <w:rPr>
          <w:rStyle w:val="EndnoteReference"/>
          <w:rFonts w:ascii="Georgia" w:hAnsi="Georgia"/>
        </w:rPr>
        <w:endnoteReference w:id="3"/>
      </w:r>
      <w:r w:rsidRPr="003013DE">
        <w:rPr>
          <w:rFonts w:ascii="Georgia" w:hAnsi="Georgia"/>
        </w:rPr>
        <w:t xml:space="preserve">  The most recent estimate for 2012 is that federal outlays will take up 24.3% of GDP, up 3.5 percent points since 2008.  Again, this is the largest peacetime increase from one election year to the next in more than three quarters of a century.</w:t>
      </w:r>
      <w:r w:rsidRPr="003013DE">
        <w:rPr>
          <w:rStyle w:val="EndnoteReference"/>
          <w:rFonts w:ascii="Georgia" w:hAnsi="Georgia"/>
        </w:rPr>
        <w:endnoteReference w:id="4"/>
      </w:r>
      <w:r w:rsidRPr="003013DE">
        <w:rPr>
          <w:rFonts w:ascii="Georgia" w:hAnsi="Georgia"/>
        </w:rPr>
        <w:t xml:space="preserve">  </w:t>
      </w:r>
    </w:p>
    <w:p w:rsidR="001A658C" w:rsidRPr="003013DE" w:rsidRDefault="001A658C" w:rsidP="003013DE">
      <w:pPr>
        <w:widowControl/>
        <w:spacing w:line="480" w:lineRule="auto"/>
        <w:ind w:firstLine="720"/>
        <w:jc w:val="center"/>
        <w:rPr>
          <w:rFonts w:ascii="Georgia" w:hAnsi="Georgia"/>
        </w:rPr>
      </w:pPr>
      <w:r w:rsidRPr="003013DE">
        <w:rPr>
          <w:rFonts w:ascii="Georgia" w:hAnsi="Georgia"/>
        </w:rPr>
        <w:t>. . . . . . . . . . . . . . . . . . . . . .</w:t>
      </w:r>
    </w:p>
    <w:p w:rsidR="001A658C" w:rsidRPr="003013DE" w:rsidRDefault="001A658C" w:rsidP="003013DE">
      <w:pPr>
        <w:widowControl/>
        <w:spacing w:line="480" w:lineRule="auto"/>
        <w:ind w:firstLine="720"/>
        <w:jc w:val="center"/>
        <w:rPr>
          <w:rFonts w:ascii="Georgia" w:hAnsi="Georgia"/>
        </w:rPr>
      </w:pPr>
      <w:r>
        <w:rPr>
          <w:rFonts w:ascii="Georgia" w:hAnsi="Georgia"/>
        </w:rPr>
        <w:t xml:space="preserve">Figure </w:t>
      </w:r>
      <w:r w:rsidRPr="003013DE">
        <w:rPr>
          <w:rFonts w:ascii="Georgia" w:hAnsi="Georgia"/>
        </w:rPr>
        <w:t xml:space="preserve">1 </w:t>
      </w:r>
      <w:r>
        <w:rPr>
          <w:rFonts w:ascii="Georgia" w:hAnsi="Georgia"/>
        </w:rPr>
        <w:t>about here</w:t>
      </w:r>
    </w:p>
    <w:p w:rsidR="001A658C" w:rsidRPr="003013DE" w:rsidRDefault="001A658C" w:rsidP="003013DE">
      <w:pPr>
        <w:widowControl/>
        <w:spacing w:line="480" w:lineRule="auto"/>
        <w:ind w:firstLine="720"/>
        <w:jc w:val="center"/>
        <w:rPr>
          <w:rFonts w:ascii="Georgia" w:hAnsi="Georgia"/>
        </w:rPr>
      </w:pPr>
      <w:r w:rsidRPr="003013DE">
        <w:rPr>
          <w:rFonts w:ascii="Georgia" w:hAnsi="Georgia"/>
        </w:rPr>
        <w:t>. . . . . . . . . . . . . . . . . . . . . .</w:t>
      </w:r>
    </w:p>
    <w:p w:rsidR="001A658C" w:rsidRPr="003013DE" w:rsidRDefault="001A658C" w:rsidP="003013DE">
      <w:pPr>
        <w:widowControl/>
        <w:spacing w:line="480" w:lineRule="auto"/>
        <w:ind w:firstLine="720"/>
        <w:rPr>
          <w:rFonts w:ascii="Georgia" w:hAnsi="Georgia"/>
        </w:rPr>
      </w:pPr>
      <w:r w:rsidRPr="003013DE">
        <w:rPr>
          <w:rFonts w:ascii="Georgia" w:hAnsi="Georgia"/>
        </w:rPr>
        <w:t xml:space="preserve">To appreciate the implications of this spike in federal outlays for President Obama’s prospects for reelection, examine </w:t>
      </w:r>
      <w:r>
        <w:rPr>
          <w:rFonts w:ascii="Georgia" w:hAnsi="Georgia"/>
        </w:rPr>
        <w:t xml:space="preserve">Figure 1.  </w:t>
      </w:r>
      <w:r w:rsidRPr="003013DE">
        <w:rPr>
          <w:rFonts w:ascii="Georgia" w:hAnsi="Georgia"/>
        </w:rPr>
        <w:t>It tracks F, the percent of GDP spent by the federal government from one presidential election year to the next.</w:t>
      </w:r>
      <w:r>
        <w:rPr>
          <w:rStyle w:val="EndnoteReference"/>
          <w:rFonts w:ascii="Georgia" w:hAnsi="Georgia"/>
        </w:rPr>
        <w:endnoteReference w:id="5"/>
      </w:r>
      <w:r w:rsidRPr="003013DE">
        <w:rPr>
          <w:rFonts w:ascii="Georgia" w:hAnsi="Georgia"/>
        </w:rPr>
        <w:t xml:space="preserve"> </w:t>
      </w:r>
      <w:r>
        <w:rPr>
          <w:rFonts w:ascii="Georgia" w:hAnsi="Georgia"/>
        </w:rPr>
        <w:t xml:space="preserve"> </w:t>
      </w:r>
      <w:r w:rsidRPr="003013DE">
        <w:rPr>
          <w:rFonts w:ascii="Georgia" w:hAnsi="Georgia"/>
        </w:rPr>
        <w:t xml:space="preserve">Years in which the incumbents won a majority of the </w:t>
      </w:r>
      <w:r w:rsidR="00D91274">
        <w:rPr>
          <w:rFonts w:ascii="Georgia" w:hAnsi="Georgia"/>
        </w:rPr>
        <w:t xml:space="preserve">two-party </w:t>
      </w:r>
      <w:r w:rsidRPr="003013DE">
        <w:rPr>
          <w:rFonts w:ascii="Georgia" w:hAnsi="Georgia"/>
        </w:rPr>
        <w:t xml:space="preserve">vote </w:t>
      </w:r>
      <w:r w:rsidR="00D91274">
        <w:rPr>
          <w:rFonts w:ascii="Georgia" w:hAnsi="Georgia"/>
        </w:rPr>
        <w:t xml:space="preserve">(VOTE2) </w:t>
      </w:r>
      <w:r w:rsidRPr="003013DE">
        <w:rPr>
          <w:rFonts w:ascii="Georgia" w:hAnsi="Georgia"/>
        </w:rPr>
        <w:t xml:space="preserve">are indicated by white dots, all others by black dots.  Observe the slope of the F-line connecting the dots.  Note that only five times have incumbents succeeded in hanging on to the White House at the end of a term in which spending relative to GDP did not decline or at least moderate its rate of growth compared to the previous term.  Those exceptions fell in 1908, at the end of </w:t>
      </w:r>
      <w:r w:rsidRPr="003013DE">
        <w:rPr>
          <w:rFonts w:ascii="Georgia" w:hAnsi="Georgia"/>
        </w:rPr>
        <w:lastRenderedPageBreak/>
        <w:t>Teddy Roosevelt’s second term</w:t>
      </w:r>
      <w:r>
        <w:rPr>
          <w:rFonts w:ascii="Georgia" w:hAnsi="Georgia"/>
        </w:rPr>
        <w:t>;</w:t>
      </w:r>
      <w:r w:rsidRPr="003013DE">
        <w:rPr>
          <w:rFonts w:ascii="Georgia" w:hAnsi="Georgia"/>
        </w:rPr>
        <w:t xml:space="preserve"> in 1936 and 1944, two of Franklin Roosevelt’s reelections</w:t>
      </w:r>
      <w:r>
        <w:rPr>
          <w:rFonts w:ascii="Georgia" w:hAnsi="Georgia"/>
        </w:rPr>
        <w:t>;</w:t>
      </w:r>
      <w:r w:rsidRPr="003013DE">
        <w:rPr>
          <w:rFonts w:ascii="Georgia" w:hAnsi="Georgia"/>
        </w:rPr>
        <w:t xml:space="preserve"> in 1984, when Ronald Reagan won a second term</w:t>
      </w:r>
      <w:r>
        <w:rPr>
          <w:rFonts w:ascii="Georgia" w:hAnsi="Georgia"/>
        </w:rPr>
        <w:t>;</w:t>
      </w:r>
      <w:r w:rsidRPr="003013DE">
        <w:rPr>
          <w:rFonts w:ascii="Georgia" w:hAnsi="Georgia"/>
        </w:rPr>
        <w:t xml:space="preserve"> and in 2004, when George W. Bush, too, was reelected.  Note that three of these exceptions involved highly charismatic presidents who had survived assassination attempts, both </w:t>
      </w:r>
      <w:proofErr w:type="spellStart"/>
      <w:r w:rsidRPr="003013DE">
        <w:rPr>
          <w:rFonts w:ascii="Georgia" w:hAnsi="Georgia"/>
        </w:rPr>
        <w:t>Roosevelts</w:t>
      </w:r>
      <w:proofErr w:type="spellEnd"/>
      <w:r w:rsidRPr="003013DE">
        <w:rPr>
          <w:rFonts w:ascii="Georgia" w:hAnsi="Georgia"/>
        </w:rPr>
        <w:t xml:space="preserve"> and Reagan, and one of those also had to do with World War II, the last popular war.  Also, Reagan’s fiscal expansion was accompanied by vigorous econom</w:t>
      </w:r>
      <w:r>
        <w:rPr>
          <w:rFonts w:ascii="Georgia" w:hAnsi="Georgia"/>
        </w:rPr>
        <w:t>ic growth</w:t>
      </w:r>
      <w:r w:rsidRPr="003013DE">
        <w:rPr>
          <w:rFonts w:ascii="Georgia" w:hAnsi="Georgia"/>
        </w:rPr>
        <w:t>.  None of these conditions applied to George W. Bush, and it showed:  in 2004, he barely squeaked through, winning reelection by the smallest margin in the major party vote of any sitting president in more than a century</w:t>
      </w:r>
      <w:r>
        <w:rPr>
          <w:rFonts w:ascii="Georgia" w:hAnsi="Georgia"/>
        </w:rPr>
        <w:t>.</w:t>
      </w:r>
      <w:r w:rsidRPr="003013DE">
        <w:rPr>
          <w:rFonts w:ascii="Georgia" w:hAnsi="Georgia"/>
        </w:rPr>
        <w:t xml:space="preserve">  More to the point of the purpose of this pape</w:t>
      </w:r>
      <w:r w:rsidR="006B213C">
        <w:rPr>
          <w:rFonts w:ascii="Georgia" w:hAnsi="Georgia"/>
        </w:rPr>
        <w:t xml:space="preserve">r, </w:t>
      </w:r>
      <w:r w:rsidRPr="003013DE">
        <w:rPr>
          <w:rFonts w:ascii="Georgia" w:hAnsi="Georgia"/>
        </w:rPr>
        <w:t>none of those conditions is present in 2012, either.</w:t>
      </w:r>
      <w:r w:rsidRPr="003013DE">
        <w:rPr>
          <w:rFonts w:ascii="Georgia" w:hAnsi="Georgia"/>
          <w:vertAlign w:val="superscript"/>
        </w:rPr>
        <w:endnoteReference w:id="6"/>
      </w:r>
      <w:r w:rsidRPr="003013DE">
        <w:rPr>
          <w:rFonts w:ascii="Georgia" w:hAnsi="Georgia"/>
        </w:rPr>
        <w:t xml:space="preserve"> </w:t>
      </w:r>
    </w:p>
    <w:p w:rsidR="001A658C" w:rsidRPr="003013DE" w:rsidRDefault="001A658C" w:rsidP="001A658C">
      <w:pPr>
        <w:widowControl/>
        <w:spacing w:line="480" w:lineRule="auto"/>
        <w:ind w:firstLine="720"/>
        <w:rPr>
          <w:rFonts w:ascii="Georgia" w:hAnsi="Georgia"/>
        </w:rPr>
      </w:pPr>
      <w:r w:rsidRPr="003013DE">
        <w:rPr>
          <w:rFonts w:ascii="Georgia" w:hAnsi="Georgia"/>
        </w:rPr>
        <w:t xml:space="preserve">The bivariate relation between federal spending (again, as a percent of GDP) and presidential reelection shown in the graph may well be spurious, but the fiscal model offers reasons and evidence to doubt it.  The intuition is that F represents the equivalent of a fee that the federal government charges the economy for its services. </w:t>
      </w:r>
      <w:r>
        <w:rPr>
          <w:rFonts w:ascii="Georgia" w:hAnsi="Georgia"/>
        </w:rPr>
        <w:t xml:space="preserve"> </w:t>
      </w:r>
      <w:r w:rsidRPr="003013DE">
        <w:rPr>
          <w:rFonts w:ascii="Georgia" w:hAnsi="Georgia"/>
        </w:rPr>
        <w:t xml:space="preserve">As with any commodity, the higher the federal fee, the smaller the quantity demanded. </w:t>
      </w:r>
      <w:r w:rsidR="0093544A">
        <w:rPr>
          <w:rFonts w:ascii="Georgia" w:hAnsi="Georgia"/>
        </w:rPr>
        <w:t xml:space="preserve"> </w:t>
      </w:r>
      <w:r w:rsidRPr="003013DE">
        <w:rPr>
          <w:rFonts w:ascii="Georgia" w:hAnsi="Georgia"/>
        </w:rPr>
        <w:t>However, unlike consumers in a market, voters are not able to reduce their “purchases” from Washington when its fee goes up. Instead, assuming there has been no change in their evaluation of federal goods and services,</w:t>
      </w:r>
      <w:r w:rsidRPr="003013DE">
        <w:rPr>
          <w:rFonts w:ascii="Georgia" w:hAnsi="Georgia"/>
          <w:vertAlign w:val="superscript"/>
        </w:rPr>
        <w:endnoteReference w:id="7"/>
      </w:r>
      <w:r w:rsidRPr="003013DE">
        <w:rPr>
          <w:rFonts w:ascii="Georgia" w:hAnsi="Georgia"/>
          <w:vertAlign w:val="superscript"/>
        </w:rPr>
        <w:t xml:space="preserve">  </w:t>
      </w:r>
      <w:r w:rsidRPr="003013DE">
        <w:rPr>
          <w:rFonts w:ascii="Georgia" w:hAnsi="Georgia"/>
        </w:rPr>
        <w:t xml:space="preserve">they do the next best thing. Switching metaphors, on Election Day they “fire” the incumbents. Viewed in this light, </w:t>
      </w:r>
      <w:r w:rsidRPr="003013DE">
        <w:rPr>
          <w:rFonts w:ascii="Georgia" w:hAnsi="Georgia"/>
          <w:i/>
        </w:rPr>
        <w:t>ceteris paribus,</w:t>
      </w:r>
      <w:r w:rsidRPr="003013DE">
        <w:rPr>
          <w:rFonts w:ascii="Georgia" w:hAnsi="Georgia"/>
        </w:rPr>
        <w:t xml:space="preserve"> an election is equivalent to a retrospective-minded referendum on the president’s fiscal policy.  </w:t>
      </w:r>
    </w:p>
    <w:p w:rsidR="001A658C" w:rsidRPr="003013DE" w:rsidRDefault="001A658C" w:rsidP="001A658C">
      <w:pPr>
        <w:widowControl/>
        <w:spacing w:line="480" w:lineRule="auto"/>
        <w:ind w:firstLine="720"/>
        <w:rPr>
          <w:rFonts w:ascii="Georgia" w:hAnsi="Georgia"/>
        </w:rPr>
      </w:pPr>
      <w:r w:rsidRPr="003013DE">
        <w:rPr>
          <w:rFonts w:ascii="Georgia" w:hAnsi="Georgia"/>
        </w:rPr>
        <w:t>A change in F yields F1, the first derivative of F with respect to time</w:t>
      </w:r>
      <w:r>
        <w:rPr>
          <w:rFonts w:ascii="Georgia" w:hAnsi="Georgia"/>
        </w:rPr>
        <w:t xml:space="preserve">, in this case the four-year presidential term.  </w:t>
      </w:r>
      <w:r w:rsidRPr="003013DE">
        <w:rPr>
          <w:rFonts w:ascii="Georgia" w:hAnsi="Georgia"/>
        </w:rPr>
        <w:t>F1=F</w:t>
      </w:r>
      <w:r w:rsidRPr="003013DE">
        <w:rPr>
          <w:rFonts w:ascii="Georgia" w:hAnsi="Georgia"/>
          <w:vertAlign w:val="subscript"/>
        </w:rPr>
        <w:t>t</w:t>
      </w:r>
      <w:r w:rsidRPr="003013DE">
        <w:rPr>
          <w:rFonts w:ascii="Georgia" w:hAnsi="Georgia"/>
        </w:rPr>
        <w:t>–F</w:t>
      </w:r>
      <w:r w:rsidRPr="003013DE">
        <w:rPr>
          <w:rFonts w:ascii="Georgia" w:hAnsi="Georgia"/>
          <w:vertAlign w:val="subscript"/>
        </w:rPr>
        <w:t>t-1</w:t>
      </w:r>
      <w:r w:rsidRPr="003013DE">
        <w:rPr>
          <w:rFonts w:ascii="Georgia" w:hAnsi="Georgia"/>
        </w:rPr>
        <w:t xml:space="preserve">, where t=election year and t-1 is </w:t>
      </w:r>
      <w:r w:rsidRPr="003013DE">
        <w:rPr>
          <w:rFonts w:ascii="Georgia" w:hAnsi="Georgia"/>
        </w:rPr>
        <w:lastRenderedPageBreak/>
        <w:t xml:space="preserve">the previous election year.  </w:t>
      </w:r>
      <w:r>
        <w:rPr>
          <w:rFonts w:ascii="Georgia" w:hAnsi="Georgia"/>
        </w:rPr>
        <w:t xml:space="preserve">In other words, </w:t>
      </w:r>
      <w:r w:rsidRPr="003013DE">
        <w:rPr>
          <w:rFonts w:ascii="Georgia" w:hAnsi="Georgia"/>
        </w:rPr>
        <w:t xml:space="preserve">F1 denotes the percent point change in spending from one presidential term to the next, e.g., if F rises from 19% to 20%, F1=1.  In turn, F1 yields a binary variable describing spending policy: </w:t>
      </w:r>
      <w:r>
        <w:rPr>
          <w:rFonts w:ascii="Georgia" w:hAnsi="Georgia"/>
        </w:rPr>
        <w:t xml:space="preserve"> </w:t>
      </w:r>
      <w:r w:rsidRPr="003013DE">
        <w:rPr>
          <w:rFonts w:ascii="Georgia" w:hAnsi="Georgia"/>
        </w:rPr>
        <w:t>FPRIME = 1 if F1 &gt; 0 (policy is expansionary)</w:t>
      </w:r>
      <w:r>
        <w:rPr>
          <w:rFonts w:ascii="Georgia" w:hAnsi="Georgia"/>
        </w:rPr>
        <w:t xml:space="preserve"> and </w:t>
      </w:r>
      <w:r w:rsidRPr="003013DE">
        <w:rPr>
          <w:rFonts w:ascii="Georgia" w:hAnsi="Georgia"/>
        </w:rPr>
        <w:t xml:space="preserve">FPRIME = -1 if F1 &lt; 0 (policy is </w:t>
      </w:r>
      <w:proofErr w:type="spellStart"/>
      <w:r w:rsidRPr="003013DE">
        <w:rPr>
          <w:rFonts w:ascii="Georgia" w:hAnsi="Georgia"/>
        </w:rPr>
        <w:t>contractionary</w:t>
      </w:r>
      <w:proofErr w:type="spellEnd"/>
      <w:r w:rsidRPr="003013DE">
        <w:rPr>
          <w:rFonts w:ascii="Georgia" w:hAnsi="Georgia"/>
        </w:rPr>
        <w:t>)</w:t>
      </w:r>
      <w:r>
        <w:rPr>
          <w:rFonts w:ascii="Georgia" w:hAnsi="Georgia"/>
        </w:rPr>
        <w:t xml:space="preserve">.  </w:t>
      </w:r>
      <w:r w:rsidRPr="003013DE">
        <w:rPr>
          <w:rFonts w:ascii="Georgia" w:hAnsi="Georgia"/>
        </w:rPr>
        <w:t xml:space="preserve">A related spending measure is FISCAL.  FISCAL is calculated by combining F1 with </w:t>
      </w:r>
      <w:r w:rsidRPr="003013DE">
        <w:rPr>
          <w:rFonts w:ascii="Georgia" w:hAnsi="Georgia"/>
          <w:i/>
        </w:rPr>
        <w:t xml:space="preserve">its </w:t>
      </w:r>
      <w:r w:rsidRPr="003013DE">
        <w:rPr>
          <w:rFonts w:ascii="Georgia" w:hAnsi="Georgia"/>
        </w:rPr>
        <w:t>derivative, F2.  If F1 &gt; 0 and F2 ≥ 0, this means that in the current term F has increased at the same or faster rate than in the previous term.   On the other hand, if F1 = 1 but F2 &lt; 0, this shows that</w:t>
      </w:r>
      <w:r w:rsidR="0062087B">
        <w:rPr>
          <w:rFonts w:ascii="Georgia" w:hAnsi="Georgia"/>
        </w:rPr>
        <w:t>,</w:t>
      </w:r>
      <w:r w:rsidRPr="003013DE">
        <w:rPr>
          <w:rFonts w:ascii="Georgia" w:hAnsi="Georgia"/>
        </w:rPr>
        <w:t xml:space="preserve"> although F has gr</w:t>
      </w:r>
      <w:r w:rsidR="0062087B">
        <w:rPr>
          <w:rFonts w:ascii="Georgia" w:hAnsi="Georgia"/>
        </w:rPr>
        <w:t>own since the previous election,</w:t>
      </w:r>
      <w:r w:rsidRPr="003013DE">
        <w:rPr>
          <w:rFonts w:ascii="Georgia" w:hAnsi="Georgia"/>
        </w:rPr>
        <w:t xml:space="preserve"> it has done so at a slower rate.  In other words, it signals to the electorate that the growth in spending has decelerated.</w:t>
      </w:r>
      <w:r w:rsidRPr="003013DE">
        <w:rPr>
          <w:rStyle w:val="EndnoteReference"/>
          <w:rFonts w:ascii="Georgia" w:hAnsi="Georgia"/>
        </w:rPr>
        <w:endnoteReference w:id="8"/>
      </w:r>
      <w:r w:rsidRPr="003013DE">
        <w:rPr>
          <w:rFonts w:ascii="Georgia" w:hAnsi="Georgia"/>
        </w:rPr>
        <w:t xml:space="preserve">  Thus,</w:t>
      </w:r>
      <w:r>
        <w:rPr>
          <w:rFonts w:ascii="Georgia" w:hAnsi="Georgia"/>
        </w:rPr>
        <w:t xml:space="preserve"> </w:t>
      </w:r>
      <w:r w:rsidRPr="003013DE">
        <w:rPr>
          <w:rFonts w:ascii="Georgia" w:hAnsi="Georgia"/>
        </w:rPr>
        <w:t>FISCAL =1 if F1 &gt; 0 and F2 ≥ 0 (policy is expansive)</w:t>
      </w:r>
      <w:r>
        <w:rPr>
          <w:rFonts w:ascii="Georgia" w:hAnsi="Georgia"/>
        </w:rPr>
        <w:t xml:space="preserve"> and </w:t>
      </w:r>
      <w:r w:rsidRPr="003013DE">
        <w:rPr>
          <w:rFonts w:ascii="Georgia" w:hAnsi="Georgia"/>
        </w:rPr>
        <w:t>FISCAL = -1 if F1 &gt; 0 and F2 &lt; 0 (policy is cutback)</w:t>
      </w:r>
      <w:r>
        <w:rPr>
          <w:rFonts w:ascii="Georgia" w:hAnsi="Georgia"/>
        </w:rPr>
        <w:t xml:space="preserve">.  </w:t>
      </w:r>
      <w:r w:rsidRPr="003013DE">
        <w:rPr>
          <w:rFonts w:ascii="Georgia" w:hAnsi="Georgia"/>
        </w:rPr>
        <w:t xml:space="preserve">FISCAL and FPRIME are fairly strongly correlated (Pearson’s </w:t>
      </w:r>
      <w:r w:rsidRPr="003013DE">
        <w:rPr>
          <w:rFonts w:ascii="Georgia" w:hAnsi="Georgia"/>
          <w:i/>
        </w:rPr>
        <w:t xml:space="preserve">r = </w:t>
      </w:r>
      <w:r w:rsidRPr="003013DE">
        <w:rPr>
          <w:rFonts w:ascii="Georgia" w:hAnsi="Georgia"/>
        </w:rPr>
        <w:t>0.79).  Since 1872, only four times have these variables taken opposite signs</w:t>
      </w:r>
      <w:r>
        <w:rPr>
          <w:rFonts w:ascii="Georgia" w:hAnsi="Georgia"/>
        </w:rPr>
        <w:t>.</w:t>
      </w:r>
      <w:r w:rsidRPr="003013DE">
        <w:rPr>
          <w:rStyle w:val="EndnoteReference"/>
          <w:rFonts w:ascii="Georgia" w:hAnsi="Georgia"/>
        </w:rPr>
        <w:endnoteReference w:id="9"/>
      </w:r>
      <w:r w:rsidRPr="003013DE">
        <w:rPr>
          <w:rFonts w:ascii="Georgia" w:hAnsi="Georgia"/>
        </w:rPr>
        <w:t xml:space="preserve">   </w:t>
      </w:r>
    </w:p>
    <w:p w:rsidR="001A658C" w:rsidRDefault="001A658C" w:rsidP="003013DE">
      <w:pPr>
        <w:widowControl/>
        <w:spacing w:line="480" w:lineRule="auto"/>
        <w:ind w:firstLine="720"/>
        <w:rPr>
          <w:rFonts w:ascii="Georgia" w:hAnsi="Georgia"/>
        </w:rPr>
      </w:pPr>
      <w:r w:rsidRPr="003013DE">
        <w:rPr>
          <w:rFonts w:ascii="Georgia" w:hAnsi="Georgia"/>
        </w:rPr>
        <w:t xml:space="preserve">FISCAL and FPRIME are strong predictors of election outcome (victory or defeat for the incumbents in the two-party vote for president), 1880-2008.  If FPRIME=-1 (policy is </w:t>
      </w:r>
      <w:proofErr w:type="spellStart"/>
      <w:r w:rsidRPr="003013DE">
        <w:rPr>
          <w:rFonts w:ascii="Georgia" w:hAnsi="Georgia"/>
        </w:rPr>
        <w:t>contractionary</w:t>
      </w:r>
      <w:proofErr w:type="spellEnd"/>
      <w:r w:rsidRPr="003013DE">
        <w:rPr>
          <w:rFonts w:ascii="Georgia" w:hAnsi="Georgia"/>
        </w:rPr>
        <w:t>), incumbents win almost 90% of the time; if FPRIME is 1(an expansionary policy), they lose about three-fifths of the time. Seventy percent of the cases behave as expected.  Using FISCAL as the spending measures yields similar results.   The negative relation between FPRIME or FISCAL and VOTE2 persists in the presence of controls for party, Democrat (1) or Republican (0), and three variabl</w:t>
      </w:r>
      <w:r w:rsidR="003841F6">
        <w:rPr>
          <w:rFonts w:ascii="Georgia" w:hAnsi="Georgia"/>
        </w:rPr>
        <w:t xml:space="preserve">es borrowed or adapted from </w:t>
      </w:r>
      <w:r w:rsidRPr="003013DE">
        <w:rPr>
          <w:rFonts w:ascii="Georgia" w:hAnsi="Georgia"/>
        </w:rPr>
        <w:t>Fair (201</w:t>
      </w:r>
      <w:r w:rsidR="003841F6">
        <w:rPr>
          <w:rFonts w:ascii="Georgia" w:hAnsi="Georgia"/>
        </w:rPr>
        <w:t>2</w:t>
      </w:r>
      <w:r w:rsidRPr="003013DE">
        <w:rPr>
          <w:rFonts w:ascii="Georgia" w:hAnsi="Georgia"/>
        </w:rPr>
        <w:t xml:space="preserve">):  GROWTH, ALL NEWS, and DURATION.  GROWTH is the annualized rate of real per capita GDP growth in the first three quarters of the election year.  </w:t>
      </w:r>
      <w:r w:rsidRPr="003013DE">
        <w:rPr>
          <w:rFonts w:ascii="Georgia" w:hAnsi="Georgia"/>
        </w:rPr>
        <w:lastRenderedPageBreak/>
        <w:t>ALLNEWS is similar to Fair’s GOODNEWS, the number of quarters through all but the last quarter of the presidential term in which GROWTH is greater than 3.2%, except that, unlike Fair, its values in his “war” years (1920, 1944, 1948) are not zeroed out.  Both measures of economic performance are expected to have a positive impact on the vote.</w:t>
      </w:r>
      <w:r w:rsidRPr="003013DE">
        <w:rPr>
          <w:rStyle w:val="EndnoteReference"/>
          <w:rFonts w:ascii="Georgia" w:hAnsi="Georgia"/>
        </w:rPr>
        <w:endnoteReference w:id="10"/>
      </w:r>
      <w:r w:rsidRPr="003013DE">
        <w:rPr>
          <w:rFonts w:ascii="Georgia" w:hAnsi="Georgia"/>
        </w:rPr>
        <w:t xml:space="preserve">  By contrast, DURATION, a weighted index of the number of consecutive terms the incumbents have occupied the White House (0, 1.0, 1.25, 1.50, and so on), should have a negative effect.  </w:t>
      </w:r>
    </w:p>
    <w:p w:rsidR="000B41E4" w:rsidRDefault="000B41E4" w:rsidP="000B41E4">
      <w:pPr>
        <w:widowControl/>
        <w:spacing w:line="480" w:lineRule="auto"/>
        <w:jc w:val="center"/>
        <w:rPr>
          <w:rFonts w:ascii="Georgia" w:hAnsi="Georgia"/>
        </w:rPr>
      </w:pPr>
      <w:r>
        <w:rPr>
          <w:rFonts w:ascii="Georgia" w:hAnsi="Georgia"/>
        </w:rPr>
        <w:t>. . . . . . . . . . . . . . . . .</w:t>
      </w:r>
    </w:p>
    <w:p w:rsidR="000B41E4" w:rsidRDefault="000B41E4" w:rsidP="000B41E4">
      <w:pPr>
        <w:widowControl/>
        <w:spacing w:line="480" w:lineRule="auto"/>
        <w:jc w:val="center"/>
        <w:rPr>
          <w:rFonts w:ascii="Georgia" w:hAnsi="Georgia"/>
        </w:rPr>
      </w:pPr>
      <w:r>
        <w:rPr>
          <w:rFonts w:ascii="Georgia" w:hAnsi="Georgia"/>
        </w:rPr>
        <w:t>Table 1 about here</w:t>
      </w:r>
    </w:p>
    <w:p w:rsidR="000B41E4" w:rsidRPr="003013DE" w:rsidRDefault="000B41E4" w:rsidP="000B41E4">
      <w:pPr>
        <w:widowControl/>
        <w:spacing w:line="480" w:lineRule="auto"/>
        <w:jc w:val="center"/>
        <w:rPr>
          <w:rFonts w:ascii="Georgia" w:hAnsi="Georgia"/>
        </w:rPr>
      </w:pPr>
      <w:r>
        <w:rPr>
          <w:rFonts w:ascii="Georgia" w:hAnsi="Georgia"/>
        </w:rPr>
        <w:t>. . . . . . . . . . . . . . . . .</w:t>
      </w:r>
    </w:p>
    <w:p w:rsidR="001A658C" w:rsidRPr="00236801" w:rsidRDefault="001A658C" w:rsidP="00236801">
      <w:pPr>
        <w:spacing w:line="480" w:lineRule="auto"/>
        <w:rPr>
          <w:rFonts w:ascii="Georgia" w:hAnsi="Georgia"/>
        </w:rPr>
      </w:pPr>
      <w:r w:rsidRPr="003013DE">
        <w:rPr>
          <w:rFonts w:ascii="Georgia" w:hAnsi="Georgia"/>
        </w:rPr>
        <w:tab/>
      </w:r>
      <w:r w:rsidR="0062087B">
        <w:rPr>
          <w:rFonts w:ascii="Georgia" w:hAnsi="Georgia"/>
        </w:rPr>
        <w:t>Table 1</w:t>
      </w:r>
      <w:r w:rsidRPr="003013DE">
        <w:rPr>
          <w:rFonts w:ascii="Georgia" w:hAnsi="Georgia"/>
        </w:rPr>
        <w:t xml:space="preserve"> displays the estimates of two pairs of regression models, one across the 24 elections held since 1916, the period Fair uses for forecasting VOTE2, and another across the 33 elections held since 1880. All variables behave as expected:  both measures of economic growth have a positive effect on the vote, the longer the incumbent party occupies the White House, the smaller its vote share, and Democrats do less well than Republicans.  Note that a policy switch from </w:t>
      </w:r>
      <w:proofErr w:type="spellStart"/>
      <w:r w:rsidRPr="003013DE">
        <w:rPr>
          <w:rFonts w:ascii="Georgia" w:hAnsi="Georgia"/>
        </w:rPr>
        <w:t>contractionary</w:t>
      </w:r>
      <w:proofErr w:type="spellEnd"/>
      <w:r w:rsidRPr="003013DE">
        <w:rPr>
          <w:rFonts w:ascii="Georgia" w:hAnsi="Georgia"/>
        </w:rPr>
        <w:t xml:space="preserve"> (or cutback) to expansionary (or expansive), i.e., a shift in FPRIME (or FISCAL) from -1 to 1, on average costs the incumbents approximately 4% of the two-party vote.  (FPRIME and FISCAL are coded -1 or 1, so to estimate the effect on the dependent variable one needs to multiply the coefficient by two.)  </w:t>
      </w:r>
    </w:p>
    <w:p w:rsidR="000E71A4" w:rsidRPr="003013DE" w:rsidRDefault="001A658C" w:rsidP="003013DE">
      <w:pPr>
        <w:widowControl/>
        <w:spacing w:line="480" w:lineRule="auto"/>
        <w:outlineLvl w:val="0"/>
        <w:rPr>
          <w:rFonts w:ascii="Georgia" w:hAnsi="Georgia"/>
        </w:rPr>
      </w:pPr>
      <w:r w:rsidRPr="003013DE">
        <w:rPr>
          <w:rFonts w:ascii="Georgia" w:hAnsi="Georgia"/>
        </w:rPr>
        <w:tab/>
      </w:r>
      <w:r w:rsidR="00236801" w:rsidRPr="00236801">
        <w:rPr>
          <w:rFonts w:ascii="Georgia" w:hAnsi="Georgia"/>
        </w:rPr>
        <w:t xml:space="preserve">Will Barack Obama Win Reelection in 2012? </w:t>
      </w:r>
      <w:r w:rsidR="00236801">
        <w:rPr>
          <w:rFonts w:ascii="Georgia" w:hAnsi="Georgia"/>
        </w:rPr>
        <w:t xml:space="preserve"> </w:t>
      </w:r>
      <w:r w:rsidRPr="003013DE">
        <w:rPr>
          <w:rFonts w:ascii="Georgia" w:hAnsi="Georgia"/>
        </w:rPr>
        <w:t xml:space="preserve">Since 1880, only 6 out of 22 times (27%) has a sitting president lost </w:t>
      </w:r>
      <w:proofErr w:type="gramStart"/>
      <w:r w:rsidRPr="003013DE">
        <w:rPr>
          <w:rFonts w:ascii="Georgia" w:hAnsi="Georgia"/>
        </w:rPr>
        <w:t>his  bid</w:t>
      </w:r>
      <w:proofErr w:type="gramEnd"/>
      <w:r w:rsidRPr="003013DE">
        <w:rPr>
          <w:rFonts w:ascii="Georgia" w:hAnsi="Georgia"/>
        </w:rPr>
        <w:t xml:space="preserve"> for reelection:  Benjamin Harrison (1888), William Howard Taft (1912), Herbert Hoover (1932), Gerald </w:t>
      </w:r>
      <w:r w:rsidRPr="003013DE">
        <w:rPr>
          <w:rFonts w:ascii="Georgia" w:hAnsi="Georgia"/>
        </w:rPr>
        <w:lastRenderedPageBreak/>
        <w:t>Ford (1976), Jimmy Carter (1980), and George H. W. Bush (1992).</w:t>
      </w:r>
      <w:r w:rsidRPr="003013DE">
        <w:rPr>
          <w:rStyle w:val="EndnoteReference"/>
          <w:rFonts w:ascii="Georgia" w:hAnsi="Georgia"/>
        </w:rPr>
        <w:endnoteReference w:id="11"/>
      </w:r>
      <w:r w:rsidRPr="003013DE">
        <w:rPr>
          <w:rFonts w:ascii="Georgia" w:hAnsi="Georgia"/>
        </w:rPr>
        <w:t xml:space="preserve">  In fact, only twice has the </w:t>
      </w:r>
      <w:r w:rsidR="0062087B">
        <w:rPr>
          <w:rFonts w:ascii="Georgia" w:hAnsi="Georgia"/>
        </w:rPr>
        <w:t xml:space="preserve">popular vote gone against </w:t>
      </w:r>
      <w:r w:rsidRPr="003013DE">
        <w:rPr>
          <w:rFonts w:ascii="Georgia" w:hAnsi="Georgia"/>
        </w:rPr>
        <w:t xml:space="preserve">a president in the first term of a party reign (Harrison and Carter).  So if history reflects true odds, President Obama’s prospects for winning another term in the White House are very good indeed.  Examining the relationship more closely, however, we find that the advantage of incumbency is mediated by fiscal policy.  Measuring it by FPRIME yields the following pattern:  Of the 22 times that a president has sought re-election, 10 times he pursued a </w:t>
      </w:r>
      <w:proofErr w:type="spellStart"/>
      <w:r w:rsidRPr="003013DE">
        <w:rPr>
          <w:rFonts w:ascii="Georgia" w:hAnsi="Georgia"/>
        </w:rPr>
        <w:t>contractionary</w:t>
      </w:r>
      <w:proofErr w:type="spellEnd"/>
      <w:r w:rsidRPr="003013DE">
        <w:rPr>
          <w:rFonts w:ascii="Georgia" w:hAnsi="Georgia"/>
        </w:rPr>
        <w:t xml:space="preserve"> policy and an expansionary policy</w:t>
      </w:r>
      <w:r w:rsidR="0062087B">
        <w:rPr>
          <w:rFonts w:ascii="Georgia" w:hAnsi="Georgia"/>
        </w:rPr>
        <w:t xml:space="preserve"> the rest of the time</w:t>
      </w:r>
      <w:r w:rsidRPr="003013DE">
        <w:rPr>
          <w:rFonts w:ascii="Georgia" w:hAnsi="Georgia"/>
        </w:rPr>
        <w:t xml:space="preserve">.  Of the former cases, 9 out of 10 (90%) were successful, but of the latter only 7 out of 12 (58%) did.  Using FISCAL as our measure, 13 times a president pursued a cutback policy, and in all but two of those (85%) he won reelection, whereas only in the aforementioned five times (55%) an expansive policy resulted in his being returned to the White House for another term (see above).  Since he </w:t>
      </w:r>
      <w:r w:rsidR="00236801">
        <w:rPr>
          <w:rFonts w:ascii="Georgia" w:hAnsi="Georgia"/>
        </w:rPr>
        <w:t>has pursued an expansionary (</w:t>
      </w:r>
      <w:r w:rsidRPr="003013DE">
        <w:rPr>
          <w:rFonts w:ascii="Georgia" w:hAnsi="Georgia"/>
        </w:rPr>
        <w:t>expansive) fiscal policy, President Obama’s prospects are less rosy than those of the typical president seeking reelection:  somewhere between 0.55 and 0.58.</w:t>
      </w:r>
      <w:r w:rsidRPr="003013DE">
        <w:rPr>
          <w:rStyle w:val="EndnoteReference"/>
          <w:rFonts w:ascii="Georgia" w:hAnsi="Georgia"/>
        </w:rPr>
        <w:endnoteReference w:id="12"/>
      </w:r>
      <w:r w:rsidRPr="003013DE">
        <w:rPr>
          <w:rFonts w:ascii="Georgia" w:hAnsi="Georgia"/>
        </w:rPr>
        <w:t xml:space="preserve"> </w:t>
      </w:r>
      <w:r w:rsidR="0062281C" w:rsidRPr="003013DE">
        <w:rPr>
          <w:rFonts w:ascii="Georgia" w:hAnsi="Georgia"/>
        </w:rPr>
        <w:t xml:space="preserve">  </w:t>
      </w:r>
    </w:p>
    <w:p w:rsidR="00E15CA6" w:rsidRPr="003013DE" w:rsidRDefault="000E71A4" w:rsidP="003013DE">
      <w:pPr>
        <w:widowControl/>
        <w:spacing w:line="480" w:lineRule="auto"/>
        <w:ind w:firstLine="720"/>
        <w:outlineLvl w:val="0"/>
        <w:rPr>
          <w:rFonts w:ascii="Georgia" w:hAnsi="Georgia"/>
        </w:rPr>
      </w:pPr>
      <w:r w:rsidRPr="003013DE">
        <w:rPr>
          <w:rFonts w:ascii="Georgia" w:hAnsi="Georgia"/>
        </w:rPr>
        <w:t xml:space="preserve">As noted earlier, however, fiscal policy is by no means the only determinant of reelection.  </w:t>
      </w:r>
      <w:r w:rsidR="004528CF" w:rsidRPr="003013DE">
        <w:rPr>
          <w:rFonts w:ascii="Georgia" w:hAnsi="Georgia"/>
        </w:rPr>
        <w:t xml:space="preserve">Economic performance, party identification, and length of party reign all have an effect.  In the case of Obama, PARTY (Democrat=1) and DURATION (0) are set; their effects </w:t>
      </w:r>
      <w:r w:rsidR="00E23688" w:rsidRPr="003013DE">
        <w:rPr>
          <w:rFonts w:ascii="Georgia" w:hAnsi="Georgia"/>
        </w:rPr>
        <w:t xml:space="preserve">partially </w:t>
      </w:r>
      <w:r w:rsidR="004528CF" w:rsidRPr="003013DE">
        <w:rPr>
          <w:rFonts w:ascii="Georgia" w:hAnsi="Georgia"/>
        </w:rPr>
        <w:t>offset each other.  The economy is the only question mark.  Taking Fair’s most recent (</w:t>
      </w:r>
      <w:r w:rsidR="00005EA8">
        <w:rPr>
          <w:rFonts w:ascii="Georgia" w:hAnsi="Georgia"/>
        </w:rPr>
        <w:t xml:space="preserve">         </w:t>
      </w:r>
      <w:r w:rsidR="004528CF" w:rsidRPr="003013DE">
        <w:rPr>
          <w:rFonts w:ascii="Georgia" w:hAnsi="Georgia"/>
        </w:rPr>
        <w:t>) for</w:t>
      </w:r>
      <w:r w:rsidR="00B22E02" w:rsidRPr="003013DE">
        <w:rPr>
          <w:rFonts w:ascii="Georgia" w:hAnsi="Georgia"/>
        </w:rPr>
        <w:t>ecasts for GROWTH and ALLNEWS,</w:t>
      </w:r>
      <w:r w:rsidR="00005EA8">
        <w:rPr>
          <w:rFonts w:ascii="Georgia" w:hAnsi="Georgia"/>
        </w:rPr>
        <w:t xml:space="preserve">      </w:t>
      </w:r>
      <w:r w:rsidR="004528CF" w:rsidRPr="003013DE">
        <w:rPr>
          <w:rFonts w:ascii="Georgia" w:hAnsi="Georgia"/>
        </w:rPr>
        <w:t xml:space="preserve"> and </w:t>
      </w:r>
      <w:r w:rsidR="00005EA8">
        <w:rPr>
          <w:rFonts w:ascii="Georgia" w:hAnsi="Georgia"/>
        </w:rPr>
        <w:t xml:space="preserve">  </w:t>
      </w:r>
      <w:r w:rsidR="004528CF" w:rsidRPr="003013DE">
        <w:rPr>
          <w:rFonts w:ascii="Georgia" w:hAnsi="Georgia"/>
        </w:rPr>
        <w:t xml:space="preserve">, respectively, the </w:t>
      </w:r>
      <w:r w:rsidR="00E23688" w:rsidRPr="003013DE">
        <w:rPr>
          <w:rFonts w:ascii="Georgia" w:hAnsi="Georgia"/>
        </w:rPr>
        <w:t xml:space="preserve">fiscal model </w:t>
      </w:r>
      <w:r w:rsidR="004528CF" w:rsidRPr="003013DE">
        <w:rPr>
          <w:rFonts w:ascii="Georgia" w:hAnsi="Georgia"/>
        </w:rPr>
        <w:t>forecast for Obama’s share of the two-party vote</w:t>
      </w:r>
      <w:r w:rsidR="003D4271" w:rsidRPr="003013DE">
        <w:rPr>
          <w:rFonts w:ascii="Georgia" w:hAnsi="Georgia"/>
        </w:rPr>
        <w:t>, obtained by averaging across</w:t>
      </w:r>
      <w:r w:rsidR="00005EA8">
        <w:rPr>
          <w:rFonts w:ascii="Georgia" w:hAnsi="Georgia"/>
        </w:rPr>
        <w:t xml:space="preserve"> the two models estimated over the short period, the one Fair uses to make his </w:t>
      </w:r>
      <w:r w:rsidR="00005EA8">
        <w:rPr>
          <w:rFonts w:ascii="Georgia" w:hAnsi="Georgia"/>
        </w:rPr>
        <w:lastRenderedPageBreak/>
        <w:t xml:space="preserve">forecasts, </w:t>
      </w:r>
      <w:r w:rsidR="003D4271" w:rsidRPr="003013DE">
        <w:rPr>
          <w:rFonts w:ascii="Georgia" w:hAnsi="Georgia"/>
        </w:rPr>
        <w:t xml:space="preserve">is </w:t>
      </w:r>
      <w:r w:rsidR="00005EA8">
        <w:rPr>
          <w:rFonts w:ascii="Georgia" w:hAnsi="Georgia"/>
        </w:rPr>
        <w:t xml:space="preserve">   </w:t>
      </w:r>
      <w:r w:rsidR="003D4271" w:rsidRPr="003013DE">
        <w:rPr>
          <w:rFonts w:ascii="Georgia" w:hAnsi="Georgia"/>
        </w:rPr>
        <w:t xml:space="preserve">%.  In other words, at this point, </w:t>
      </w:r>
      <w:r w:rsidR="00236801">
        <w:rPr>
          <w:rFonts w:ascii="Georgia" w:hAnsi="Georgia"/>
        </w:rPr>
        <w:t xml:space="preserve">several months </w:t>
      </w:r>
      <w:r w:rsidR="003D4271" w:rsidRPr="003013DE">
        <w:rPr>
          <w:rFonts w:ascii="Georgia" w:hAnsi="Georgia"/>
        </w:rPr>
        <w:t>before the elect</w:t>
      </w:r>
      <w:r w:rsidR="009148E7" w:rsidRPr="003013DE">
        <w:rPr>
          <w:rFonts w:ascii="Georgia" w:hAnsi="Georgia"/>
        </w:rPr>
        <w:t xml:space="preserve">ion, the fiscal model predicts </w:t>
      </w:r>
      <w:r w:rsidR="003D4271" w:rsidRPr="003013DE">
        <w:rPr>
          <w:rFonts w:ascii="Georgia" w:hAnsi="Georgia"/>
        </w:rPr>
        <w:t xml:space="preserve">Obama </w:t>
      </w:r>
      <w:r w:rsidR="009148E7" w:rsidRPr="003013DE">
        <w:rPr>
          <w:rFonts w:ascii="Georgia" w:hAnsi="Georgia"/>
        </w:rPr>
        <w:t xml:space="preserve">to lose </w:t>
      </w:r>
      <w:r w:rsidR="00613D8B" w:rsidRPr="003013DE">
        <w:rPr>
          <w:rFonts w:ascii="Georgia" w:hAnsi="Georgia"/>
        </w:rPr>
        <w:t xml:space="preserve">the two-party vote </w:t>
      </w:r>
      <w:r w:rsidR="003D4271" w:rsidRPr="003013DE">
        <w:rPr>
          <w:rFonts w:ascii="Georgia" w:hAnsi="Georgia"/>
        </w:rPr>
        <w:t>in a close</w:t>
      </w:r>
      <w:r w:rsidR="00236801">
        <w:rPr>
          <w:rFonts w:ascii="Georgia" w:hAnsi="Georgia"/>
        </w:rPr>
        <w:t xml:space="preserve"> contest.</w:t>
      </w:r>
      <w:r w:rsidR="003D4271" w:rsidRPr="003013DE">
        <w:rPr>
          <w:rFonts w:ascii="Georgia" w:hAnsi="Georgia"/>
        </w:rPr>
        <w:t xml:space="preserve">  </w:t>
      </w:r>
      <w:r w:rsidR="00005EA8">
        <w:rPr>
          <w:rFonts w:ascii="Georgia" w:hAnsi="Georgia"/>
        </w:rPr>
        <w:t>The probability that President Obama will win more than 50% of the two-party vote is</w:t>
      </w:r>
      <w:r w:rsidR="00236801">
        <w:rPr>
          <w:rFonts w:ascii="Georgia" w:hAnsi="Georgia"/>
        </w:rPr>
        <w:t xml:space="preserve">   .</w:t>
      </w:r>
      <w:r w:rsidR="00005EA8">
        <w:rPr>
          <w:rFonts w:ascii="Georgia" w:hAnsi="Georgia"/>
        </w:rPr>
        <w:t xml:space="preserve">   </w:t>
      </w:r>
      <w:r w:rsidR="00236801">
        <w:rPr>
          <w:rFonts w:ascii="Georgia" w:hAnsi="Georgia"/>
        </w:rPr>
        <w:t>In all probability, he will win a smaller share of the two-party vote than he did in 2008; so even if he squeaks through with a bare majority of the two-party vote, he</w:t>
      </w:r>
      <w:r w:rsidR="00F614B5">
        <w:rPr>
          <w:rFonts w:ascii="Georgia" w:hAnsi="Georgia"/>
        </w:rPr>
        <w:t xml:space="preserve"> would </w:t>
      </w:r>
      <w:r w:rsidR="00236801">
        <w:rPr>
          <w:rFonts w:ascii="Georgia" w:hAnsi="Georgia"/>
        </w:rPr>
        <w:t>be the first president in well over a century to</w:t>
      </w:r>
      <w:r w:rsidR="00F614B5">
        <w:rPr>
          <w:rFonts w:ascii="Georgia" w:hAnsi="Georgia"/>
        </w:rPr>
        <w:t xml:space="preserve"> be reelected to </w:t>
      </w:r>
      <w:r w:rsidR="00236801">
        <w:rPr>
          <w:rFonts w:ascii="Georgia" w:hAnsi="Georgia"/>
        </w:rPr>
        <w:t xml:space="preserve">a second term with a smaller margin of victory than </w:t>
      </w:r>
      <w:r w:rsidR="00F614B5">
        <w:rPr>
          <w:rFonts w:ascii="Georgia" w:hAnsi="Georgia"/>
        </w:rPr>
        <w:t xml:space="preserve">he received the first time around.  </w:t>
      </w:r>
      <w:r w:rsidR="00236801" w:rsidRPr="003013DE">
        <w:rPr>
          <w:rFonts w:ascii="Georgia" w:hAnsi="Georgia"/>
        </w:rPr>
        <w:t xml:space="preserve"> </w:t>
      </w:r>
    </w:p>
    <w:p w:rsidR="00275832" w:rsidRPr="003013DE" w:rsidRDefault="003841F6" w:rsidP="003841F6">
      <w:pPr>
        <w:widowControl/>
        <w:autoSpaceDE/>
        <w:autoSpaceDN/>
        <w:adjustRightInd/>
        <w:spacing w:line="480" w:lineRule="auto"/>
        <w:jc w:val="center"/>
        <w:rPr>
          <w:rFonts w:ascii="Georgia" w:hAnsi="Georgia" w:cs="Shruti"/>
        </w:rPr>
      </w:pPr>
      <w:r>
        <w:rPr>
          <w:rFonts w:ascii="Georgia" w:hAnsi="Georgia"/>
        </w:rPr>
        <w:t>REFERENCES</w:t>
      </w:r>
      <w:r w:rsidR="008B1C50" w:rsidRPr="003013DE">
        <w:rPr>
          <w:rFonts w:ascii="Georgia" w:hAnsi="Georgia" w:cs="Shruti"/>
        </w:rPr>
        <w:t xml:space="preserve">  </w:t>
      </w:r>
    </w:p>
    <w:p w:rsidR="00B038BF" w:rsidRPr="003013DE" w:rsidRDefault="00B038BF" w:rsidP="003013DE">
      <w:pPr>
        <w:widowControl/>
        <w:spacing w:line="480" w:lineRule="auto"/>
        <w:ind w:left="720" w:hanging="720"/>
        <w:rPr>
          <w:rFonts w:ascii="Georgia" w:hAnsi="Georgia"/>
        </w:rPr>
      </w:pPr>
      <w:proofErr w:type="spellStart"/>
      <w:r w:rsidRPr="003013DE">
        <w:rPr>
          <w:rFonts w:ascii="Georgia" w:hAnsi="Georgia" w:cs="Shruti"/>
        </w:rPr>
        <w:t>Cuzán</w:t>
      </w:r>
      <w:proofErr w:type="spellEnd"/>
      <w:r w:rsidRPr="003013DE">
        <w:rPr>
          <w:rFonts w:ascii="Georgia" w:hAnsi="Georgia" w:cs="Shruti"/>
        </w:rPr>
        <w:t xml:space="preserve">, Alfred G. and Charles M. </w:t>
      </w:r>
      <w:proofErr w:type="spellStart"/>
      <w:r w:rsidRPr="003013DE">
        <w:rPr>
          <w:rFonts w:ascii="Georgia" w:hAnsi="Georgia" w:cs="Shruti"/>
        </w:rPr>
        <w:t>Budrick</w:t>
      </w:r>
      <w:proofErr w:type="spellEnd"/>
      <w:r w:rsidR="00232C4A" w:rsidRPr="003013DE">
        <w:rPr>
          <w:rFonts w:ascii="Georgia" w:hAnsi="Georgia" w:cs="Shruti"/>
        </w:rPr>
        <w:t>.</w:t>
      </w:r>
      <w:r w:rsidR="003841F6">
        <w:rPr>
          <w:rFonts w:ascii="Georgia" w:hAnsi="Georgia" w:cs="Shruti"/>
        </w:rPr>
        <w:t xml:space="preserve">  </w:t>
      </w:r>
      <w:r w:rsidRPr="003013DE">
        <w:rPr>
          <w:rFonts w:ascii="Georgia" w:hAnsi="Georgia" w:cs="Shruti"/>
        </w:rPr>
        <w:t xml:space="preserve"> </w:t>
      </w:r>
      <w:r w:rsidR="00232C4A" w:rsidRPr="003013DE">
        <w:rPr>
          <w:rFonts w:ascii="Georgia" w:hAnsi="Georgia" w:cs="Shruti"/>
        </w:rPr>
        <w:t xml:space="preserve">2008.  </w:t>
      </w:r>
      <w:r w:rsidR="005E1A7C" w:rsidRPr="003013DE">
        <w:rPr>
          <w:rFonts w:ascii="Georgia" w:hAnsi="Georgia" w:cs="Shruti"/>
        </w:rPr>
        <w:t xml:space="preserve">Forecasting the 2008 Presidential Election:  A Challenge for the Fiscal Model.  </w:t>
      </w:r>
      <w:r w:rsidRPr="003013DE">
        <w:rPr>
          <w:rFonts w:ascii="Georgia" w:hAnsi="Georgia" w:cs="Shruti"/>
          <w:i/>
        </w:rPr>
        <w:t>P</w:t>
      </w:r>
      <w:r w:rsidRPr="003013DE">
        <w:rPr>
          <w:rFonts w:ascii="Georgia" w:hAnsi="Georgia" w:cs="Shruti"/>
          <w:i/>
          <w:iCs/>
        </w:rPr>
        <w:t>S: Political Science and Politics</w:t>
      </w:r>
      <w:r w:rsidRPr="003013DE">
        <w:rPr>
          <w:rFonts w:ascii="Georgia" w:hAnsi="Georgia" w:cs="Shruti"/>
        </w:rPr>
        <w:t>, 41, 4, 717-722.</w:t>
      </w:r>
    </w:p>
    <w:p w:rsidR="002C4ACF" w:rsidRPr="003013DE" w:rsidRDefault="00275832" w:rsidP="003013DE">
      <w:pPr>
        <w:widowControl/>
        <w:spacing w:line="480" w:lineRule="auto"/>
        <w:ind w:left="720" w:hanging="720"/>
        <w:rPr>
          <w:rFonts w:ascii="Georgia" w:hAnsi="Georgia"/>
        </w:rPr>
      </w:pPr>
      <w:r w:rsidRPr="003013DE">
        <w:rPr>
          <w:rFonts w:ascii="Georgia" w:hAnsi="Georgia"/>
        </w:rPr>
        <w:t>_____</w:t>
      </w:r>
      <w:r w:rsidR="00A74587" w:rsidRPr="003013DE">
        <w:rPr>
          <w:rFonts w:ascii="Georgia" w:hAnsi="Georgia"/>
        </w:rPr>
        <w:t xml:space="preserve">. 2004. “Fiscal Effects on Presidential Elections: A Forecast for 2004.” Paper presented at the Annual Meeting of the American Political Science Association, Chicago, </w:t>
      </w:r>
      <w:proofErr w:type="gramStart"/>
      <w:r w:rsidR="00A74587" w:rsidRPr="003013DE">
        <w:rPr>
          <w:rFonts w:ascii="Georgia" w:hAnsi="Georgia"/>
        </w:rPr>
        <w:t>September</w:t>
      </w:r>
      <w:proofErr w:type="gramEnd"/>
      <w:r w:rsidR="00A74587" w:rsidRPr="003013DE">
        <w:rPr>
          <w:rFonts w:ascii="Georgia" w:hAnsi="Georgia"/>
        </w:rPr>
        <w:t>.</w:t>
      </w:r>
    </w:p>
    <w:p w:rsidR="003D4271" w:rsidRPr="003013DE" w:rsidRDefault="003D4271" w:rsidP="003013DE">
      <w:pPr>
        <w:widowControl/>
        <w:spacing w:line="480" w:lineRule="auto"/>
        <w:ind w:left="720" w:hanging="720"/>
        <w:rPr>
          <w:rFonts w:ascii="Georgia" w:hAnsi="Georgia"/>
        </w:rPr>
      </w:pPr>
      <w:r w:rsidRPr="003013DE">
        <w:rPr>
          <w:rFonts w:ascii="Georgia" w:hAnsi="Georgia"/>
        </w:rPr>
        <w:t xml:space="preserve">Fair, Ray C.  </w:t>
      </w:r>
      <w:r w:rsidR="003841F6">
        <w:rPr>
          <w:rFonts w:ascii="Georgia" w:hAnsi="Georgia"/>
        </w:rPr>
        <w:t xml:space="preserve">2012.  </w:t>
      </w:r>
      <w:r w:rsidRPr="003013DE">
        <w:rPr>
          <w:rFonts w:ascii="Georgia" w:hAnsi="Georgia"/>
        </w:rPr>
        <w:t xml:space="preserve">Vote-Share Equations:  </w:t>
      </w:r>
      <w:r w:rsidR="003841F6">
        <w:rPr>
          <w:rFonts w:ascii="Georgia" w:hAnsi="Georgia"/>
        </w:rPr>
        <w:t xml:space="preserve">Predictions.  </w:t>
      </w:r>
      <w:r w:rsidRPr="003013DE">
        <w:rPr>
          <w:rFonts w:ascii="Georgia" w:hAnsi="Georgia"/>
        </w:rPr>
        <w:t xml:space="preserve">  </w:t>
      </w:r>
      <w:hyperlink r:id="rId9" w:history="1">
        <w:r w:rsidRPr="003013DE">
          <w:rPr>
            <w:rStyle w:val="Hyperlink"/>
            <w:rFonts w:ascii="Georgia" w:hAnsi="Georgia"/>
          </w:rPr>
          <w:t>http://fairmodel.econ.yale.edu/vote2012/index2.htm</w:t>
        </w:r>
      </w:hyperlink>
    </w:p>
    <w:p w:rsidR="005629E0" w:rsidRDefault="00ED5147" w:rsidP="003841F6">
      <w:pPr>
        <w:autoSpaceDE/>
        <w:autoSpaceDN/>
        <w:adjustRightInd/>
        <w:spacing w:line="480" w:lineRule="auto"/>
        <w:ind w:left="720" w:hanging="720"/>
        <w:rPr>
          <w:rFonts w:ascii="Georgia" w:hAnsi="Georgia"/>
          <w:bCs/>
        </w:rPr>
      </w:pPr>
      <w:proofErr w:type="spellStart"/>
      <w:r w:rsidRPr="003013DE">
        <w:rPr>
          <w:rFonts w:ascii="Georgia" w:hAnsi="Georgia"/>
        </w:rPr>
        <w:t>Lichtman</w:t>
      </w:r>
      <w:proofErr w:type="spellEnd"/>
      <w:r w:rsidRPr="003013DE">
        <w:rPr>
          <w:rFonts w:ascii="Georgia" w:hAnsi="Georgia"/>
        </w:rPr>
        <w:t>, Allan. 201</w:t>
      </w:r>
      <w:r w:rsidR="003841F6">
        <w:rPr>
          <w:rFonts w:ascii="Georgia" w:hAnsi="Georgia"/>
        </w:rPr>
        <w:t>1</w:t>
      </w:r>
      <w:r w:rsidRPr="003013DE">
        <w:rPr>
          <w:rFonts w:ascii="Georgia" w:hAnsi="Georgia"/>
        </w:rPr>
        <w:t xml:space="preserve">.  </w:t>
      </w:r>
      <w:r w:rsidR="003841F6">
        <w:rPr>
          <w:rFonts w:ascii="Georgia" w:hAnsi="Georgia"/>
        </w:rPr>
        <w:t xml:space="preserve">Updated Prediction for 2012.  </w:t>
      </w:r>
      <w:proofErr w:type="gramStart"/>
      <w:r w:rsidRPr="003013DE">
        <w:rPr>
          <w:rFonts w:ascii="Georgia" w:hAnsi="Georgia"/>
          <w:bCs/>
          <w:i/>
        </w:rPr>
        <w:t>Gazette.Net</w:t>
      </w:r>
      <w:r w:rsidR="003841F6">
        <w:rPr>
          <w:rFonts w:ascii="Georgia" w:hAnsi="Georgia"/>
          <w:bCs/>
          <w:i/>
        </w:rPr>
        <w:t xml:space="preserve">. </w:t>
      </w:r>
      <w:r w:rsidRPr="003013DE">
        <w:rPr>
          <w:rFonts w:ascii="Georgia" w:hAnsi="Georgia"/>
          <w:bCs/>
        </w:rPr>
        <w:t xml:space="preserve"> </w:t>
      </w:r>
      <w:r w:rsidR="003841F6">
        <w:rPr>
          <w:rFonts w:ascii="Georgia" w:hAnsi="Georgia"/>
          <w:bCs/>
        </w:rPr>
        <w:t>June 2.</w:t>
      </w:r>
      <w:proofErr w:type="gramEnd"/>
      <w:r w:rsidR="003841F6">
        <w:rPr>
          <w:rFonts w:ascii="Georgia" w:hAnsi="Georgia"/>
          <w:bCs/>
        </w:rPr>
        <w:t xml:space="preserve">  </w:t>
      </w:r>
      <w:r w:rsidRPr="003013DE">
        <w:rPr>
          <w:rFonts w:ascii="Georgia" w:hAnsi="Georgia"/>
          <w:bCs/>
        </w:rPr>
        <w:t xml:space="preserve">  Downloaded</w:t>
      </w:r>
      <w:r w:rsidR="003841F6">
        <w:rPr>
          <w:rFonts w:ascii="Georgia" w:hAnsi="Georgia"/>
          <w:bCs/>
        </w:rPr>
        <w:t xml:space="preserve"> June 26, 2012.</w:t>
      </w:r>
    </w:p>
    <w:p w:rsidR="005629E0" w:rsidRDefault="005629E0">
      <w:pPr>
        <w:widowControl/>
        <w:autoSpaceDE/>
        <w:autoSpaceDN/>
        <w:adjustRightInd/>
        <w:rPr>
          <w:rFonts w:ascii="Georgia" w:hAnsi="Georgia"/>
          <w:bCs/>
        </w:rPr>
      </w:pPr>
      <w:r>
        <w:rPr>
          <w:rFonts w:ascii="Georgia" w:hAnsi="Georgia"/>
          <w:bCs/>
        </w:rPr>
        <w:br w:type="page"/>
      </w:r>
    </w:p>
    <w:tbl>
      <w:tblPr>
        <w:tblW w:w="0" w:type="auto"/>
        <w:jc w:val="center"/>
        <w:tblCellMar>
          <w:left w:w="120" w:type="dxa"/>
          <w:right w:w="120" w:type="dxa"/>
        </w:tblCellMar>
        <w:tblLook w:val="0000" w:firstRow="0" w:lastRow="0" w:firstColumn="0" w:lastColumn="0" w:noHBand="0" w:noVBand="0"/>
      </w:tblPr>
      <w:tblGrid>
        <w:gridCol w:w="1598"/>
        <w:gridCol w:w="1034"/>
        <w:gridCol w:w="1375"/>
        <w:gridCol w:w="1066"/>
        <w:gridCol w:w="1052"/>
      </w:tblGrid>
      <w:tr w:rsidR="00CF2111" w:rsidRPr="00AB19AC" w:rsidTr="00B01644">
        <w:trPr>
          <w:jc w:val="center"/>
        </w:trPr>
        <w:tc>
          <w:tcPr>
            <w:tcW w:w="0" w:type="auto"/>
            <w:gridSpan w:val="5"/>
            <w:tcBorders>
              <w:top w:val="nil"/>
              <w:left w:val="nil"/>
              <w:bottom w:val="nil"/>
              <w:right w:val="nil"/>
            </w:tcBorders>
          </w:tcPr>
          <w:p w:rsidR="00AB19AC" w:rsidRPr="00AB19AC" w:rsidRDefault="00CD06C3" w:rsidP="00AB19AC">
            <w:pPr>
              <w:widowControl/>
              <w:autoSpaceDE/>
              <w:autoSpaceDN/>
              <w:adjustRightInd/>
              <w:rPr>
                <w:rFonts w:ascii="Georgia" w:hAnsi="Georgia"/>
                <w:b/>
              </w:rPr>
            </w:pPr>
            <w:r>
              <w:rPr>
                <w:rFonts w:ascii="Georgia" w:hAnsi="Georgia"/>
              </w:rPr>
              <w:lastRenderedPageBreak/>
              <w:br w:type="page"/>
            </w:r>
            <w:r w:rsidR="00AB19AC">
              <w:rPr>
                <w:rFonts w:ascii="Georgia" w:hAnsi="Georgia"/>
              </w:rPr>
              <w:br w:type="page"/>
            </w:r>
            <w:r w:rsidR="003841F6">
              <w:rPr>
                <w:rFonts w:ascii="Georgia" w:hAnsi="Georgia"/>
                <w:b/>
              </w:rPr>
              <w:t>Table 1</w:t>
            </w:r>
            <w:r w:rsidR="00AB19AC" w:rsidRPr="00AB19AC">
              <w:rPr>
                <w:rFonts w:ascii="Georgia" w:hAnsi="Georgia"/>
                <w:b/>
              </w:rPr>
              <w:t xml:space="preserve">  </w:t>
            </w:r>
          </w:p>
          <w:p w:rsidR="00AB19AC" w:rsidRPr="00AB19AC" w:rsidRDefault="00AB19AC" w:rsidP="00AB19AC">
            <w:pPr>
              <w:widowControl/>
              <w:autoSpaceDE/>
              <w:autoSpaceDN/>
              <w:adjustRightInd/>
              <w:rPr>
                <w:rFonts w:ascii="Georgia" w:hAnsi="Georgia"/>
                <w:b/>
              </w:rPr>
            </w:pPr>
            <w:r w:rsidRPr="00AB19AC">
              <w:rPr>
                <w:rFonts w:ascii="Georgia" w:hAnsi="Georgia"/>
                <w:b/>
              </w:rPr>
              <w:t>The Fiscal Model: Two Versions, Two Periods</w:t>
            </w:r>
          </w:p>
          <w:p w:rsidR="00AB19AC" w:rsidRPr="00AB19AC" w:rsidRDefault="00AB19AC" w:rsidP="00AB19AC">
            <w:pPr>
              <w:widowControl/>
              <w:autoSpaceDE/>
              <w:autoSpaceDN/>
              <w:adjustRightInd/>
              <w:rPr>
                <w:rFonts w:ascii="Georgia" w:hAnsi="Georgia"/>
              </w:rPr>
            </w:pPr>
            <w:r w:rsidRPr="00AB19AC">
              <w:rPr>
                <w:rFonts w:ascii="Georgia" w:hAnsi="Georgia"/>
                <w:b/>
              </w:rPr>
              <w:t>(</w:t>
            </w:r>
            <w:r w:rsidRPr="00AB19AC">
              <w:rPr>
                <w:rFonts w:ascii="Georgia" w:hAnsi="Georgia"/>
                <w:b/>
                <w:i/>
              </w:rPr>
              <w:t>t</w:t>
            </w:r>
            <w:r w:rsidRPr="00AB19AC">
              <w:rPr>
                <w:rFonts w:ascii="Georgia" w:hAnsi="Georgia"/>
                <w:b/>
              </w:rPr>
              <w:t>-statistics in parenthesis)</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p>
        </w:tc>
        <w:tc>
          <w:tcPr>
            <w:tcW w:w="0" w:type="auto"/>
            <w:gridSpan w:val="4"/>
            <w:tcBorders>
              <w:top w:val="nil"/>
              <w:left w:val="nil"/>
              <w:bottom w:val="nil"/>
              <w:right w:val="nil"/>
            </w:tcBorders>
          </w:tcPr>
          <w:p w:rsidR="00AB19AC" w:rsidRPr="00AB19AC" w:rsidRDefault="00AB19AC" w:rsidP="00E15CA6">
            <w:pPr>
              <w:widowControl/>
              <w:autoSpaceDE/>
              <w:autoSpaceDN/>
              <w:adjustRightInd/>
              <w:jc w:val="center"/>
              <w:rPr>
                <w:rFonts w:ascii="Georgia" w:hAnsi="Georgia"/>
              </w:rPr>
            </w:pPr>
            <w:r w:rsidRPr="00AB19AC">
              <w:rPr>
                <w:rFonts w:ascii="Georgia" w:hAnsi="Georgia"/>
              </w:rPr>
              <w:t>Dependent Variable: VOTE2</w:t>
            </w:r>
          </w:p>
          <w:p w:rsidR="00AB19AC" w:rsidRPr="00AB19AC" w:rsidRDefault="00AB19AC" w:rsidP="00AB19AC">
            <w:pPr>
              <w:widowControl/>
              <w:autoSpaceDE/>
              <w:autoSpaceDN/>
              <w:adjustRightInd/>
              <w:rPr>
                <w:rFonts w:ascii="Georgia" w:hAnsi="Georgia"/>
              </w:rPr>
            </w:pPr>
            <w:r w:rsidRPr="00AB19AC">
              <w:rPr>
                <w:rFonts w:ascii="Georgia" w:hAnsi="Georgia"/>
              </w:rPr>
              <w:t>(Incumbent share of two-party vote)</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Predictor</w:t>
            </w:r>
          </w:p>
        </w:tc>
        <w:tc>
          <w:tcPr>
            <w:tcW w:w="0" w:type="auto"/>
            <w:gridSpan w:val="2"/>
            <w:tcBorders>
              <w:top w:val="nil"/>
              <w:left w:val="nil"/>
              <w:bottom w:val="nil"/>
              <w:right w:val="nil"/>
            </w:tcBorders>
          </w:tcPr>
          <w:p w:rsidR="00AB19AC" w:rsidRDefault="00AB19AC" w:rsidP="003D5AF6">
            <w:pPr>
              <w:widowControl/>
              <w:autoSpaceDE/>
              <w:autoSpaceDN/>
              <w:adjustRightInd/>
              <w:jc w:val="center"/>
              <w:rPr>
                <w:rFonts w:ascii="Georgia" w:hAnsi="Georgia"/>
              </w:rPr>
            </w:pPr>
            <w:r w:rsidRPr="00AB19AC">
              <w:rPr>
                <w:rFonts w:ascii="Georgia" w:hAnsi="Georgia"/>
              </w:rPr>
              <w:t>1880–200</w:t>
            </w:r>
            <w:r w:rsidR="00012E13">
              <w:rPr>
                <w:rFonts w:ascii="Georgia" w:hAnsi="Georgia"/>
              </w:rPr>
              <w:t>8</w:t>
            </w:r>
          </w:p>
          <w:p w:rsidR="00005EA8" w:rsidRPr="00AB19AC" w:rsidRDefault="00005EA8" w:rsidP="003D5AF6">
            <w:pPr>
              <w:widowControl/>
              <w:autoSpaceDE/>
              <w:autoSpaceDN/>
              <w:adjustRightInd/>
              <w:jc w:val="center"/>
              <w:rPr>
                <w:rFonts w:ascii="Georgia" w:hAnsi="Georgia"/>
              </w:rPr>
            </w:pPr>
            <w:r>
              <w:rPr>
                <w:rFonts w:ascii="Georgia" w:hAnsi="Georgia"/>
              </w:rPr>
              <w:t>(the long period)</w:t>
            </w:r>
          </w:p>
        </w:tc>
        <w:tc>
          <w:tcPr>
            <w:tcW w:w="0" w:type="auto"/>
            <w:gridSpan w:val="2"/>
            <w:tcBorders>
              <w:top w:val="nil"/>
              <w:left w:val="nil"/>
              <w:bottom w:val="nil"/>
              <w:right w:val="nil"/>
            </w:tcBorders>
            <w:vAlign w:val="center"/>
          </w:tcPr>
          <w:p w:rsidR="00AB19AC" w:rsidRDefault="00AB19AC" w:rsidP="003D5AF6">
            <w:pPr>
              <w:widowControl/>
              <w:autoSpaceDE/>
              <w:autoSpaceDN/>
              <w:adjustRightInd/>
              <w:jc w:val="center"/>
              <w:rPr>
                <w:rFonts w:ascii="Georgia" w:hAnsi="Georgia"/>
              </w:rPr>
            </w:pPr>
            <w:r w:rsidRPr="00AB19AC">
              <w:rPr>
                <w:rFonts w:ascii="Georgia" w:hAnsi="Georgia"/>
              </w:rPr>
              <w:t>1916–200</w:t>
            </w:r>
            <w:r w:rsidR="00012E13">
              <w:rPr>
                <w:rFonts w:ascii="Georgia" w:hAnsi="Georgia"/>
              </w:rPr>
              <w:t>8</w:t>
            </w:r>
          </w:p>
          <w:p w:rsidR="00005EA8" w:rsidRPr="00AB19AC" w:rsidRDefault="00005EA8" w:rsidP="003D5AF6">
            <w:pPr>
              <w:widowControl/>
              <w:autoSpaceDE/>
              <w:autoSpaceDN/>
              <w:adjustRightInd/>
              <w:jc w:val="center"/>
              <w:rPr>
                <w:rFonts w:ascii="Georgia" w:hAnsi="Georgia"/>
              </w:rPr>
            </w:pPr>
            <w:r>
              <w:rPr>
                <w:rFonts w:ascii="Georgia" w:hAnsi="Georgia"/>
              </w:rPr>
              <w:t>(the short period)</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FISCAL</w:t>
            </w:r>
          </w:p>
          <w:p w:rsidR="00AB19AC" w:rsidRPr="00AB19AC" w:rsidRDefault="00AB19AC" w:rsidP="00AB19AC">
            <w:pPr>
              <w:widowControl/>
              <w:autoSpaceDE/>
              <w:autoSpaceDN/>
              <w:adjustRightInd/>
              <w:rPr>
                <w:rFonts w:ascii="Georgia" w:hAnsi="Georgia"/>
              </w:rPr>
            </w:pP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w:t>
            </w:r>
            <w:r w:rsidR="00BB3696">
              <w:rPr>
                <w:rFonts w:ascii="Georgia" w:hAnsi="Georgia"/>
              </w:rPr>
              <w:t>1.92</w:t>
            </w:r>
          </w:p>
          <w:p w:rsidR="00AB19AC" w:rsidRPr="00AB19AC" w:rsidRDefault="00AB19AC" w:rsidP="00BB3696">
            <w:pPr>
              <w:widowControl/>
              <w:autoSpaceDE/>
              <w:autoSpaceDN/>
              <w:adjustRightInd/>
              <w:jc w:val="center"/>
              <w:rPr>
                <w:rFonts w:ascii="Georgia" w:hAnsi="Georgia"/>
              </w:rPr>
            </w:pPr>
            <w:r w:rsidRPr="00AB19AC">
              <w:rPr>
                <w:rFonts w:ascii="Georgia" w:hAnsi="Georgia"/>
              </w:rPr>
              <w:t>(-</w:t>
            </w:r>
            <w:r w:rsidR="00BB3696">
              <w:rPr>
                <w:rFonts w:ascii="Georgia" w:hAnsi="Georgia"/>
              </w:rPr>
              <w:t>2.96</w:t>
            </w:r>
            <w:r w:rsidRPr="00AB19AC">
              <w:rPr>
                <w:rFonts w:ascii="Georgia" w:hAnsi="Georgia"/>
              </w:rPr>
              <w:t>)</w:t>
            </w: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w:t>
            </w:r>
            <w:r w:rsidR="00CF2111">
              <w:rPr>
                <w:rFonts w:ascii="Georgia" w:hAnsi="Georgia"/>
              </w:rPr>
              <w:t>2.03</w:t>
            </w:r>
          </w:p>
          <w:p w:rsidR="00AB19AC" w:rsidRPr="00AB19AC" w:rsidRDefault="00012E13" w:rsidP="00CF2111">
            <w:pPr>
              <w:widowControl/>
              <w:autoSpaceDE/>
              <w:autoSpaceDN/>
              <w:adjustRightInd/>
              <w:jc w:val="center"/>
              <w:rPr>
                <w:rFonts w:ascii="Georgia" w:hAnsi="Georgia"/>
              </w:rPr>
            </w:pPr>
            <w:r>
              <w:rPr>
                <w:rFonts w:ascii="Georgia" w:hAnsi="Georgia"/>
              </w:rPr>
              <w:t>(-</w:t>
            </w:r>
            <w:r w:rsidR="00CF2111">
              <w:rPr>
                <w:rFonts w:ascii="Georgia" w:hAnsi="Georgia"/>
              </w:rPr>
              <w:t>4.41</w:t>
            </w:r>
            <w:r w:rsidR="00AB19AC" w:rsidRPr="00AB19AC">
              <w:rPr>
                <w:rFonts w:ascii="Georgia" w:hAnsi="Georgia"/>
              </w:rPr>
              <w:t>)</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FPRIME</w:t>
            </w:r>
          </w:p>
          <w:p w:rsidR="00AB19AC" w:rsidRPr="00AB19AC" w:rsidRDefault="00AB19AC" w:rsidP="00AB19AC">
            <w:pPr>
              <w:widowControl/>
              <w:autoSpaceDE/>
              <w:autoSpaceDN/>
              <w:adjustRightInd/>
              <w:rPr>
                <w:rFonts w:ascii="Georgia" w:hAnsi="Georgia"/>
              </w:rPr>
            </w:pP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-2.</w:t>
            </w:r>
            <w:r w:rsidR="00B27034">
              <w:rPr>
                <w:rFonts w:ascii="Georgia" w:hAnsi="Georgia"/>
              </w:rPr>
              <w:t>28</w:t>
            </w:r>
          </w:p>
          <w:p w:rsidR="00AB19AC" w:rsidRPr="00AB19AC" w:rsidRDefault="00AB19AC" w:rsidP="00B27034">
            <w:pPr>
              <w:widowControl/>
              <w:autoSpaceDE/>
              <w:autoSpaceDN/>
              <w:adjustRightInd/>
              <w:jc w:val="center"/>
              <w:rPr>
                <w:rFonts w:ascii="Georgia" w:hAnsi="Georgia"/>
              </w:rPr>
            </w:pPr>
            <w:r w:rsidRPr="00AB19AC">
              <w:rPr>
                <w:rFonts w:ascii="Georgia" w:hAnsi="Georgia"/>
              </w:rPr>
              <w:t>(-</w:t>
            </w:r>
            <w:r w:rsidR="00B27034">
              <w:rPr>
                <w:rFonts w:ascii="Georgia" w:hAnsi="Georgia"/>
              </w:rPr>
              <w:t>3.74</w:t>
            </w:r>
            <w:r w:rsidRPr="00AB19AC">
              <w:rPr>
                <w:rFonts w:ascii="Georgia" w:hAnsi="Georgia"/>
              </w:rPr>
              <w:t>)</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-2.</w:t>
            </w:r>
            <w:r w:rsidR="00B27034">
              <w:rPr>
                <w:rFonts w:ascii="Georgia" w:hAnsi="Georgia"/>
              </w:rPr>
              <w:t>05</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4.85</w:t>
            </w:r>
            <w:r w:rsidRPr="00AB19AC">
              <w:rPr>
                <w:rFonts w:ascii="Georgia" w:hAnsi="Georgia"/>
              </w:rPr>
              <w:t>)</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GROWTH</w:t>
            </w:r>
          </w:p>
          <w:p w:rsidR="00AB19AC" w:rsidRPr="00AB19AC" w:rsidRDefault="00AB19AC" w:rsidP="00AB19AC">
            <w:pPr>
              <w:widowControl/>
              <w:autoSpaceDE/>
              <w:autoSpaceDN/>
              <w:adjustRightInd/>
              <w:rPr>
                <w:rFonts w:ascii="Georgia" w:hAnsi="Georgia"/>
              </w:rPr>
            </w:pPr>
          </w:p>
        </w:tc>
        <w:tc>
          <w:tcPr>
            <w:tcW w:w="0" w:type="auto"/>
            <w:tcBorders>
              <w:top w:val="nil"/>
              <w:left w:val="nil"/>
              <w:bottom w:val="nil"/>
              <w:right w:val="nil"/>
            </w:tcBorders>
          </w:tcPr>
          <w:p w:rsidR="00AB19AC" w:rsidRPr="00AB19AC" w:rsidRDefault="00BB3696" w:rsidP="003D5AF6">
            <w:pPr>
              <w:widowControl/>
              <w:autoSpaceDE/>
              <w:autoSpaceDN/>
              <w:adjustRightInd/>
              <w:jc w:val="center"/>
              <w:rPr>
                <w:rFonts w:ascii="Georgia" w:hAnsi="Georgia"/>
              </w:rPr>
            </w:pPr>
            <w:r>
              <w:rPr>
                <w:rFonts w:ascii="Georgia" w:hAnsi="Georgia"/>
              </w:rPr>
              <w:t>0.52</w:t>
            </w:r>
          </w:p>
          <w:p w:rsidR="00AB19AC" w:rsidRPr="00AB19AC" w:rsidRDefault="00AB19AC" w:rsidP="00BB3696">
            <w:pPr>
              <w:widowControl/>
              <w:autoSpaceDE/>
              <w:autoSpaceDN/>
              <w:adjustRightInd/>
              <w:jc w:val="center"/>
              <w:rPr>
                <w:rFonts w:ascii="Georgia" w:hAnsi="Georgia"/>
              </w:rPr>
            </w:pPr>
            <w:r w:rsidRPr="00AB19AC">
              <w:rPr>
                <w:rFonts w:ascii="Georgia" w:hAnsi="Georgia"/>
              </w:rPr>
              <w:t>(</w:t>
            </w:r>
            <w:r w:rsidR="00BB3696">
              <w:rPr>
                <w:rFonts w:ascii="Georgia" w:hAnsi="Georgia"/>
              </w:rPr>
              <w:t>4.28</w:t>
            </w:r>
            <w:r w:rsidRPr="00AB19AC">
              <w:rPr>
                <w:rFonts w:ascii="Georgia" w:hAnsi="Georgia"/>
              </w:rPr>
              <w:t>)</w:t>
            </w: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0.</w:t>
            </w:r>
            <w:r w:rsidR="00B71D34">
              <w:rPr>
                <w:rFonts w:ascii="Georgia" w:hAnsi="Georgia"/>
              </w:rPr>
              <w:t>4</w:t>
            </w:r>
            <w:r w:rsidR="00B27034">
              <w:rPr>
                <w:rFonts w:ascii="Georgia" w:hAnsi="Georgia"/>
              </w:rPr>
              <w:t>9</w:t>
            </w:r>
          </w:p>
          <w:p w:rsidR="00AB19AC" w:rsidRPr="00AB19AC" w:rsidRDefault="00B71D34" w:rsidP="00B27034">
            <w:pPr>
              <w:widowControl/>
              <w:autoSpaceDE/>
              <w:autoSpaceDN/>
              <w:adjustRightInd/>
              <w:jc w:val="center"/>
              <w:rPr>
                <w:rFonts w:ascii="Georgia" w:hAnsi="Georgia"/>
              </w:rPr>
            </w:pPr>
            <w:r>
              <w:rPr>
                <w:rFonts w:ascii="Georgia" w:hAnsi="Georgia"/>
              </w:rPr>
              <w:t>(4.2</w:t>
            </w:r>
            <w:r w:rsidR="00B27034">
              <w:rPr>
                <w:rFonts w:ascii="Georgia" w:hAnsi="Georgia"/>
              </w:rPr>
              <w:t>5</w:t>
            </w:r>
          </w:p>
        </w:tc>
        <w:tc>
          <w:tcPr>
            <w:tcW w:w="0" w:type="auto"/>
            <w:tcBorders>
              <w:top w:val="nil"/>
              <w:left w:val="nil"/>
              <w:bottom w:val="nil"/>
              <w:right w:val="nil"/>
            </w:tcBorders>
            <w:vAlign w:val="center"/>
          </w:tcPr>
          <w:p w:rsidR="00012E13" w:rsidRDefault="00AB19AC" w:rsidP="003D5AF6">
            <w:pPr>
              <w:widowControl/>
              <w:autoSpaceDE/>
              <w:autoSpaceDN/>
              <w:adjustRightInd/>
              <w:jc w:val="center"/>
              <w:rPr>
                <w:rFonts w:ascii="Georgia" w:hAnsi="Georgia"/>
              </w:rPr>
            </w:pPr>
            <w:r w:rsidRPr="00AB19AC">
              <w:rPr>
                <w:rFonts w:ascii="Georgia" w:hAnsi="Georgia"/>
              </w:rPr>
              <w:t>0.</w:t>
            </w:r>
            <w:r w:rsidR="00012E13">
              <w:rPr>
                <w:rFonts w:ascii="Georgia" w:hAnsi="Georgia"/>
              </w:rPr>
              <w:t>7</w:t>
            </w:r>
            <w:r w:rsidR="00CF2111">
              <w:rPr>
                <w:rFonts w:ascii="Georgia" w:hAnsi="Georgia"/>
              </w:rPr>
              <w:t>2</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8.51</w:t>
            </w:r>
            <w:r w:rsidRPr="00AB19AC">
              <w:rPr>
                <w:rFonts w:ascii="Georgia" w:hAnsi="Georgia"/>
              </w:rPr>
              <w:t>)</w:t>
            </w:r>
          </w:p>
        </w:tc>
        <w:tc>
          <w:tcPr>
            <w:tcW w:w="0" w:type="auto"/>
            <w:tcBorders>
              <w:top w:val="nil"/>
              <w:left w:val="nil"/>
              <w:bottom w:val="nil"/>
              <w:right w:val="nil"/>
            </w:tcBorders>
            <w:vAlign w:val="center"/>
          </w:tcPr>
          <w:p w:rsidR="00AB19AC" w:rsidRPr="00AB19AC" w:rsidRDefault="00012E13" w:rsidP="003D5AF6">
            <w:pPr>
              <w:widowControl/>
              <w:autoSpaceDE/>
              <w:autoSpaceDN/>
              <w:adjustRightInd/>
              <w:jc w:val="center"/>
              <w:rPr>
                <w:rFonts w:ascii="Georgia" w:hAnsi="Georgia"/>
              </w:rPr>
            </w:pPr>
            <w:r>
              <w:rPr>
                <w:rFonts w:ascii="Georgia" w:hAnsi="Georgia"/>
              </w:rPr>
              <w:t>0.67</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8.36</w:t>
            </w:r>
            <w:r w:rsidRPr="00AB19AC">
              <w:rPr>
                <w:rFonts w:ascii="Georgia" w:hAnsi="Georgia"/>
              </w:rPr>
              <w:t>)</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ALLNEWS</w:t>
            </w:r>
          </w:p>
          <w:p w:rsidR="00AB19AC" w:rsidRPr="00AB19AC" w:rsidRDefault="00AB19AC" w:rsidP="00AB19AC">
            <w:pPr>
              <w:widowControl/>
              <w:autoSpaceDE/>
              <w:autoSpaceDN/>
              <w:adjustRightInd/>
              <w:rPr>
                <w:rFonts w:ascii="Georgia" w:hAnsi="Georgia"/>
              </w:rPr>
            </w:pP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0.</w:t>
            </w:r>
            <w:r w:rsidR="00BB3696">
              <w:rPr>
                <w:rFonts w:ascii="Georgia" w:hAnsi="Georgia"/>
              </w:rPr>
              <w:t>77</w:t>
            </w:r>
          </w:p>
          <w:p w:rsidR="00AB19AC" w:rsidRPr="00AB19AC" w:rsidRDefault="00AB19AC" w:rsidP="00BB3696">
            <w:pPr>
              <w:widowControl/>
              <w:autoSpaceDE/>
              <w:autoSpaceDN/>
              <w:adjustRightInd/>
              <w:jc w:val="center"/>
              <w:rPr>
                <w:rFonts w:ascii="Georgia" w:hAnsi="Georgia"/>
              </w:rPr>
            </w:pPr>
            <w:r w:rsidRPr="00AB19AC">
              <w:rPr>
                <w:rFonts w:ascii="Georgia" w:hAnsi="Georgia"/>
              </w:rPr>
              <w:t>(</w:t>
            </w:r>
            <w:r w:rsidR="00BB3696">
              <w:rPr>
                <w:rFonts w:ascii="Georgia" w:hAnsi="Georgia"/>
              </w:rPr>
              <w:t>3.18</w:t>
            </w:r>
            <w:r w:rsidRPr="00AB19AC">
              <w:rPr>
                <w:rFonts w:ascii="Georgia" w:hAnsi="Georgia"/>
              </w:rPr>
              <w:t>)</w:t>
            </w:r>
          </w:p>
        </w:tc>
        <w:tc>
          <w:tcPr>
            <w:tcW w:w="1375" w:type="dxa"/>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0.7</w:t>
            </w:r>
            <w:r w:rsidR="00B27034">
              <w:rPr>
                <w:rFonts w:ascii="Georgia" w:hAnsi="Georgia"/>
              </w:rPr>
              <w:t>9</w:t>
            </w:r>
          </w:p>
          <w:p w:rsidR="00AB19AC" w:rsidRPr="00AB19AC" w:rsidRDefault="00AB19AC" w:rsidP="00B27034">
            <w:pPr>
              <w:widowControl/>
              <w:autoSpaceDE/>
              <w:autoSpaceDN/>
              <w:adjustRightInd/>
              <w:jc w:val="center"/>
              <w:rPr>
                <w:rFonts w:ascii="Georgia" w:hAnsi="Georgia"/>
              </w:rPr>
            </w:pPr>
            <w:r w:rsidRPr="00AB19AC">
              <w:rPr>
                <w:rFonts w:ascii="Georgia" w:hAnsi="Georgia"/>
              </w:rPr>
              <w:t>(3.</w:t>
            </w:r>
            <w:r w:rsidR="00B27034">
              <w:rPr>
                <w:rFonts w:ascii="Georgia" w:hAnsi="Georgia"/>
              </w:rPr>
              <w:t>49</w:t>
            </w:r>
            <w:r w:rsidRPr="00AB19AC">
              <w:rPr>
                <w:rFonts w:ascii="Georgia" w:hAnsi="Georgia"/>
              </w:rPr>
              <w:t>)</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0.</w:t>
            </w:r>
            <w:r w:rsidR="00CF2111">
              <w:rPr>
                <w:rFonts w:ascii="Georgia" w:hAnsi="Georgia"/>
              </w:rPr>
              <w:t>93</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5.73</w:t>
            </w:r>
            <w:r w:rsidRPr="00AB19AC">
              <w:rPr>
                <w:rFonts w:ascii="Georgia" w:hAnsi="Georgia"/>
              </w:rPr>
              <w:t>)</w:t>
            </w:r>
          </w:p>
        </w:tc>
        <w:tc>
          <w:tcPr>
            <w:tcW w:w="0" w:type="auto"/>
            <w:tcBorders>
              <w:top w:val="nil"/>
              <w:left w:val="nil"/>
              <w:bottom w:val="nil"/>
              <w:right w:val="nil"/>
            </w:tcBorders>
            <w:vAlign w:val="center"/>
          </w:tcPr>
          <w:p w:rsidR="00012E13" w:rsidRDefault="00012E13" w:rsidP="003D5AF6">
            <w:pPr>
              <w:widowControl/>
              <w:autoSpaceDE/>
              <w:autoSpaceDN/>
              <w:adjustRightInd/>
              <w:jc w:val="center"/>
              <w:rPr>
                <w:rFonts w:ascii="Georgia" w:hAnsi="Georgia"/>
              </w:rPr>
            </w:pPr>
            <w:r>
              <w:rPr>
                <w:rFonts w:ascii="Georgia" w:hAnsi="Georgia"/>
              </w:rPr>
              <w:t>0.8</w:t>
            </w:r>
            <w:r w:rsidR="00CF2111">
              <w:rPr>
                <w:rFonts w:ascii="Georgia" w:hAnsi="Georgia"/>
              </w:rPr>
              <w:t>9</w:t>
            </w:r>
          </w:p>
          <w:p w:rsidR="00AB19AC" w:rsidRPr="00AB19AC" w:rsidRDefault="00012E13" w:rsidP="00CF2111">
            <w:pPr>
              <w:widowControl/>
              <w:autoSpaceDE/>
              <w:autoSpaceDN/>
              <w:adjustRightInd/>
              <w:jc w:val="center"/>
              <w:rPr>
                <w:rFonts w:ascii="Georgia" w:hAnsi="Georgia"/>
              </w:rPr>
            </w:pPr>
            <w:r>
              <w:rPr>
                <w:rFonts w:ascii="Georgia" w:hAnsi="Georgia"/>
              </w:rPr>
              <w:t>(</w:t>
            </w:r>
            <w:r w:rsidR="00CF2111">
              <w:rPr>
                <w:rFonts w:ascii="Georgia" w:hAnsi="Georgia"/>
              </w:rPr>
              <w:t>5.81</w:t>
            </w:r>
            <w:r w:rsidR="00AB19AC" w:rsidRPr="00AB19AC">
              <w:rPr>
                <w:rFonts w:ascii="Georgia" w:hAnsi="Georgia"/>
              </w:rPr>
              <w:t>)</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DURATION</w:t>
            </w:r>
          </w:p>
          <w:p w:rsidR="00AB19AC" w:rsidRPr="00AB19AC" w:rsidRDefault="00AB19AC" w:rsidP="00AB19AC">
            <w:pPr>
              <w:widowControl/>
              <w:autoSpaceDE/>
              <w:autoSpaceDN/>
              <w:adjustRightInd/>
              <w:rPr>
                <w:rFonts w:ascii="Georgia" w:hAnsi="Georgia"/>
              </w:rPr>
            </w:pPr>
          </w:p>
        </w:tc>
        <w:tc>
          <w:tcPr>
            <w:tcW w:w="0" w:type="auto"/>
            <w:tcBorders>
              <w:top w:val="nil"/>
              <w:left w:val="nil"/>
              <w:bottom w:val="nil"/>
              <w:right w:val="nil"/>
            </w:tcBorders>
          </w:tcPr>
          <w:p w:rsidR="00AB19AC" w:rsidRPr="00AB19AC" w:rsidRDefault="00BB3696" w:rsidP="003D5AF6">
            <w:pPr>
              <w:widowControl/>
              <w:autoSpaceDE/>
              <w:autoSpaceDN/>
              <w:adjustRightInd/>
              <w:jc w:val="center"/>
              <w:rPr>
                <w:rFonts w:ascii="Georgia" w:hAnsi="Georgia"/>
              </w:rPr>
            </w:pPr>
            <w:r>
              <w:rPr>
                <w:rFonts w:ascii="Georgia" w:hAnsi="Georgia"/>
              </w:rPr>
              <w:t>-3.3</w:t>
            </w:r>
            <w:r w:rsidR="0065568A">
              <w:rPr>
                <w:rFonts w:ascii="Georgia" w:hAnsi="Georgia"/>
              </w:rPr>
              <w:t>3</w:t>
            </w:r>
          </w:p>
          <w:p w:rsidR="00AB19AC" w:rsidRPr="00AB19AC" w:rsidRDefault="0065568A" w:rsidP="00BB3696">
            <w:pPr>
              <w:widowControl/>
              <w:autoSpaceDE/>
              <w:autoSpaceDN/>
              <w:adjustRightInd/>
              <w:jc w:val="center"/>
              <w:rPr>
                <w:rFonts w:ascii="Georgia" w:hAnsi="Georgia"/>
              </w:rPr>
            </w:pPr>
            <w:r>
              <w:rPr>
                <w:rFonts w:ascii="Georgia" w:hAnsi="Georgia"/>
              </w:rPr>
              <w:t>(-</w:t>
            </w:r>
            <w:r w:rsidR="00BB3696">
              <w:rPr>
                <w:rFonts w:ascii="Georgia" w:hAnsi="Georgia"/>
              </w:rPr>
              <w:t>3.42</w:t>
            </w:r>
            <w:r w:rsidR="00AB19AC" w:rsidRPr="00AB19AC">
              <w:rPr>
                <w:rFonts w:ascii="Georgia" w:hAnsi="Georgia"/>
              </w:rPr>
              <w:t>)</w:t>
            </w:r>
          </w:p>
        </w:tc>
        <w:tc>
          <w:tcPr>
            <w:tcW w:w="1375" w:type="dxa"/>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w:t>
            </w:r>
            <w:r w:rsidR="00B71D34">
              <w:rPr>
                <w:rFonts w:ascii="Georgia" w:hAnsi="Georgia"/>
              </w:rPr>
              <w:t>3.</w:t>
            </w:r>
            <w:r w:rsidR="00B27034">
              <w:rPr>
                <w:rFonts w:ascii="Georgia" w:hAnsi="Georgia"/>
              </w:rPr>
              <w:t>89</w:t>
            </w:r>
          </w:p>
          <w:p w:rsidR="00AB19AC" w:rsidRPr="00AB19AC" w:rsidRDefault="00AB19AC" w:rsidP="003D5AF6">
            <w:pPr>
              <w:widowControl/>
              <w:autoSpaceDE/>
              <w:autoSpaceDN/>
              <w:adjustRightInd/>
              <w:jc w:val="center"/>
              <w:rPr>
                <w:rFonts w:ascii="Georgia" w:hAnsi="Georgia"/>
              </w:rPr>
            </w:pPr>
            <w:r w:rsidRPr="00AB19AC">
              <w:rPr>
                <w:rFonts w:ascii="Georgia" w:hAnsi="Georgia"/>
              </w:rPr>
              <w:t>(-4.</w:t>
            </w:r>
            <w:r w:rsidR="00B71D34">
              <w:rPr>
                <w:rFonts w:ascii="Georgia" w:hAnsi="Georgia"/>
              </w:rPr>
              <w:t>25</w:t>
            </w:r>
            <w:r w:rsidRPr="00AB19AC">
              <w:rPr>
                <w:rFonts w:ascii="Georgia" w:hAnsi="Georgia"/>
              </w:rPr>
              <w:t>)</w:t>
            </w:r>
          </w:p>
        </w:tc>
        <w:tc>
          <w:tcPr>
            <w:tcW w:w="0" w:type="auto"/>
            <w:tcBorders>
              <w:top w:val="nil"/>
              <w:left w:val="nil"/>
              <w:bottom w:val="nil"/>
              <w:right w:val="nil"/>
            </w:tcBorders>
            <w:vAlign w:val="center"/>
          </w:tcPr>
          <w:p w:rsidR="00CF2111" w:rsidRDefault="00AB19AC" w:rsidP="00CF2111">
            <w:pPr>
              <w:widowControl/>
              <w:autoSpaceDE/>
              <w:autoSpaceDN/>
              <w:adjustRightInd/>
              <w:jc w:val="center"/>
              <w:rPr>
                <w:rFonts w:ascii="Georgia" w:hAnsi="Georgia"/>
              </w:rPr>
            </w:pPr>
            <w:r w:rsidRPr="00AB19AC">
              <w:rPr>
                <w:rFonts w:ascii="Georgia" w:hAnsi="Georgia"/>
              </w:rPr>
              <w:t>-</w:t>
            </w:r>
            <w:r w:rsidR="00012E13">
              <w:rPr>
                <w:rFonts w:ascii="Georgia" w:hAnsi="Georgia"/>
              </w:rPr>
              <w:t>3.</w:t>
            </w:r>
            <w:r w:rsidR="00CF2111">
              <w:rPr>
                <w:rFonts w:ascii="Georgia" w:hAnsi="Georgia"/>
              </w:rPr>
              <w:t>54</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4.50</w:t>
            </w:r>
            <w:r w:rsidRPr="00AB19AC">
              <w:rPr>
                <w:rFonts w:ascii="Georgia" w:hAnsi="Georgia"/>
              </w:rPr>
              <w:t>)</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w:t>
            </w:r>
            <w:r w:rsidR="00CF2111">
              <w:rPr>
                <w:rFonts w:ascii="Georgia" w:hAnsi="Georgia"/>
              </w:rPr>
              <w:t>4.13</w:t>
            </w:r>
          </w:p>
          <w:p w:rsidR="00AB19AC" w:rsidRPr="00AB19AC" w:rsidRDefault="00AB19AC" w:rsidP="00CF2111">
            <w:pPr>
              <w:widowControl/>
              <w:autoSpaceDE/>
              <w:autoSpaceDN/>
              <w:adjustRightInd/>
              <w:jc w:val="center"/>
              <w:rPr>
                <w:rFonts w:ascii="Georgia" w:hAnsi="Georgia"/>
              </w:rPr>
            </w:pPr>
            <w:r w:rsidRPr="00AB19AC">
              <w:rPr>
                <w:rFonts w:ascii="Georgia" w:hAnsi="Georgia"/>
              </w:rPr>
              <w:t>(-5.</w:t>
            </w:r>
            <w:r w:rsidR="00CF2111">
              <w:rPr>
                <w:rFonts w:ascii="Georgia" w:hAnsi="Georgia"/>
              </w:rPr>
              <w:t>77</w:t>
            </w:r>
            <w:r w:rsidR="00012E13">
              <w:rPr>
                <w:rFonts w:ascii="Georgia" w:hAnsi="Georgia"/>
              </w:rPr>
              <w:t>)</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PARTY</w:t>
            </w:r>
          </w:p>
          <w:p w:rsidR="00AB19AC" w:rsidRPr="00AB19AC" w:rsidRDefault="00AB19AC" w:rsidP="00AB19AC">
            <w:pPr>
              <w:widowControl/>
              <w:autoSpaceDE/>
              <w:autoSpaceDN/>
              <w:adjustRightInd/>
              <w:rPr>
                <w:rFonts w:ascii="Georgia" w:hAnsi="Georgia"/>
              </w:rPr>
            </w:pP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-1.</w:t>
            </w:r>
            <w:r w:rsidR="00BB3696">
              <w:rPr>
                <w:rFonts w:ascii="Georgia" w:hAnsi="Georgia"/>
              </w:rPr>
              <w:t>78</w:t>
            </w:r>
          </w:p>
          <w:p w:rsidR="00AB19AC" w:rsidRPr="00AB19AC" w:rsidRDefault="00BB3696" w:rsidP="00BB3696">
            <w:pPr>
              <w:widowControl/>
              <w:autoSpaceDE/>
              <w:autoSpaceDN/>
              <w:adjustRightInd/>
              <w:jc w:val="center"/>
              <w:rPr>
                <w:rFonts w:ascii="Georgia" w:hAnsi="Georgia"/>
              </w:rPr>
            </w:pPr>
            <w:r>
              <w:rPr>
                <w:rFonts w:ascii="Georgia" w:hAnsi="Georgia"/>
              </w:rPr>
              <w:t>(-2.69</w:t>
            </w:r>
            <w:r w:rsidR="00AB19AC" w:rsidRPr="00AB19AC">
              <w:rPr>
                <w:rFonts w:ascii="Georgia" w:hAnsi="Georgia"/>
              </w:rPr>
              <w:t>)</w:t>
            </w:r>
          </w:p>
        </w:tc>
        <w:tc>
          <w:tcPr>
            <w:tcW w:w="1375" w:type="dxa"/>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-1.</w:t>
            </w:r>
            <w:r w:rsidR="00B27034">
              <w:rPr>
                <w:rFonts w:ascii="Georgia" w:hAnsi="Georgia"/>
              </w:rPr>
              <w:t>75</w:t>
            </w:r>
          </w:p>
          <w:p w:rsidR="00AB19AC" w:rsidRPr="00AB19AC" w:rsidRDefault="00AB19AC" w:rsidP="00B27034">
            <w:pPr>
              <w:widowControl/>
              <w:autoSpaceDE/>
              <w:autoSpaceDN/>
              <w:adjustRightInd/>
              <w:jc w:val="center"/>
              <w:rPr>
                <w:rFonts w:ascii="Georgia" w:hAnsi="Georgia"/>
              </w:rPr>
            </w:pPr>
            <w:r w:rsidRPr="00AB19AC">
              <w:rPr>
                <w:rFonts w:ascii="Georgia" w:hAnsi="Georgia"/>
              </w:rPr>
              <w:t>(-</w:t>
            </w:r>
            <w:r w:rsidR="00B27034">
              <w:rPr>
                <w:rFonts w:ascii="Georgia" w:hAnsi="Georgia"/>
              </w:rPr>
              <w:t>2.84</w:t>
            </w:r>
            <w:r w:rsidRPr="00AB19AC">
              <w:rPr>
                <w:rFonts w:ascii="Georgia" w:hAnsi="Georgia"/>
              </w:rPr>
              <w:t>)</w:t>
            </w:r>
          </w:p>
        </w:tc>
        <w:tc>
          <w:tcPr>
            <w:tcW w:w="0" w:type="auto"/>
            <w:tcBorders>
              <w:top w:val="nil"/>
              <w:left w:val="nil"/>
              <w:bottom w:val="nil"/>
              <w:right w:val="nil"/>
            </w:tcBorders>
            <w:vAlign w:val="center"/>
          </w:tcPr>
          <w:p w:rsidR="00AB19AC" w:rsidRPr="00AB19AC" w:rsidRDefault="00012E13" w:rsidP="003D5AF6">
            <w:pPr>
              <w:widowControl/>
              <w:autoSpaceDE/>
              <w:autoSpaceDN/>
              <w:adjustRightInd/>
              <w:jc w:val="center"/>
              <w:rPr>
                <w:rFonts w:ascii="Georgia" w:hAnsi="Georgia"/>
              </w:rPr>
            </w:pPr>
            <w:r>
              <w:rPr>
                <w:rFonts w:ascii="Georgia" w:hAnsi="Georgia"/>
              </w:rPr>
              <w:t>-2.</w:t>
            </w:r>
            <w:r w:rsidR="00CF2111">
              <w:rPr>
                <w:rFonts w:ascii="Georgia" w:hAnsi="Georgia"/>
              </w:rPr>
              <w:t>45</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5.17</w:t>
            </w:r>
            <w:r w:rsidRPr="00AB19AC">
              <w:rPr>
                <w:rFonts w:ascii="Georgia" w:hAnsi="Georgia"/>
              </w:rPr>
              <w:t>)</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-2.</w:t>
            </w:r>
            <w:r w:rsidR="00CF2111">
              <w:rPr>
                <w:rFonts w:ascii="Georgia" w:hAnsi="Georgia"/>
              </w:rPr>
              <w:t>17</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4.88</w:t>
            </w:r>
            <w:r w:rsidRPr="00AB19AC">
              <w:rPr>
                <w:rFonts w:ascii="Georgia" w:hAnsi="Georgia"/>
              </w:rPr>
              <w:t>)</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INTERCEPT</w:t>
            </w: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49.</w:t>
            </w:r>
            <w:r w:rsidR="00BB3696">
              <w:rPr>
                <w:rFonts w:ascii="Georgia" w:hAnsi="Georgia"/>
              </w:rPr>
              <w:t>06</w:t>
            </w:r>
          </w:p>
          <w:p w:rsidR="00AB19AC" w:rsidRPr="00AB19AC" w:rsidRDefault="00AB19AC" w:rsidP="00BB3696">
            <w:pPr>
              <w:widowControl/>
              <w:autoSpaceDE/>
              <w:autoSpaceDN/>
              <w:adjustRightInd/>
              <w:jc w:val="center"/>
              <w:rPr>
                <w:rFonts w:ascii="Georgia" w:hAnsi="Georgia"/>
              </w:rPr>
            </w:pPr>
            <w:r w:rsidRPr="00AB19AC">
              <w:rPr>
                <w:rFonts w:ascii="Georgia" w:hAnsi="Georgia"/>
              </w:rPr>
              <w:t>(</w:t>
            </w:r>
            <w:r w:rsidR="0065568A">
              <w:rPr>
                <w:rFonts w:ascii="Georgia" w:hAnsi="Georgia"/>
              </w:rPr>
              <w:t>2</w:t>
            </w:r>
            <w:r w:rsidR="00BB3696">
              <w:rPr>
                <w:rFonts w:ascii="Georgia" w:hAnsi="Georgia"/>
              </w:rPr>
              <w:t>8.94</w:t>
            </w:r>
            <w:r w:rsidRPr="00AB19AC">
              <w:rPr>
                <w:rFonts w:ascii="Georgia" w:hAnsi="Georgia"/>
              </w:rPr>
              <w:t>)</w:t>
            </w:r>
          </w:p>
        </w:tc>
        <w:tc>
          <w:tcPr>
            <w:tcW w:w="1375" w:type="dxa"/>
            <w:tcBorders>
              <w:top w:val="nil"/>
              <w:left w:val="nil"/>
              <w:bottom w:val="nil"/>
              <w:right w:val="nil"/>
            </w:tcBorders>
          </w:tcPr>
          <w:p w:rsidR="00AB19AC" w:rsidRPr="00AB19AC" w:rsidRDefault="00B71D34" w:rsidP="003D5AF6">
            <w:pPr>
              <w:widowControl/>
              <w:autoSpaceDE/>
              <w:autoSpaceDN/>
              <w:adjustRightInd/>
              <w:jc w:val="center"/>
              <w:rPr>
                <w:rFonts w:ascii="Georgia" w:hAnsi="Georgia"/>
              </w:rPr>
            </w:pPr>
            <w:r>
              <w:rPr>
                <w:rFonts w:ascii="Georgia" w:hAnsi="Georgia"/>
              </w:rPr>
              <w:t>49.</w:t>
            </w:r>
            <w:r w:rsidR="00B27034">
              <w:rPr>
                <w:rFonts w:ascii="Georgia" w:hAnsi="Georgia"/>
              </w:rPr>
              <w:t>86</w:t>
            </w:r>
          </w:p>
          <w:p w:rsidR="00AB19AC" w:rsidRPr="00AB19AC" w:rsidRDefault="00AB19AC" w:rsidP="00B27034">
            <w:pPr>
              <w:widowControl/>
              <w:autoSpaceDE/>
              <w:autoSpaceDN/>
              <w:adjustRightInd/>
              <w:jc w:val="center"/>
              <w:rPr>
                <w:rFonts w:ascii="Georgia" w:hAnsi="Georgia"/>
              </w:rPr>
            </w:pPr>
            <w:r w:rsidRPr="00AB19AC">
              <w:rPr>
                <w:rFonts w:ascii="Georgia" w:hAnsi="Georgia"/>
              </w:rPr>
              <w:t>(3</w:t>
            </w:r>
            <w:r w:rsidR="00B27034">
              <w:rPr>
                <w:rFonts w:ascii="Georgia" w:hAnsi="Georgia"/>
              </w:rPr>
              <w:t>2.15</w:t>
            </w:r>
            <w:r w:rsidR="00B71D34">
              <w:rPr>
                <w:rFonts w:ascii="Georgia" w:hAnsi="Georgia"/>
              </w:rPr>
              <w:t>)</w:t>
            </w:r>
          </w:p>
        </w:tc>
        <w:tc>
          <w:tcPr>
            <w:tcW w:w="0" w:type="auto"/>
            <w:tcBorders>
              <w:top w:val="nil"/>
              <w:left w:val="nil"/>
              <w:bottom w:val="nil"/>
              <w:right w:val="nil"/>
            </w:tcBorders>
            <w:vAlign w:val="center"/>
          </w:tcPr>
          <w:p w:rsidR="00AB19AC" w:rsidRPr="00AB19AC" w:rsidRDefault="00CF2111" w:rsidP="003D5AF6">
            <w:pPr>
              <w:widowControl/>
              <w:autoSpaceDE/>
              <w:autoSpaceDN/>
              <w:adjustRightInd/>
              <w:jc w:val="center"/>
              <w:rPr>
                <w:rFonts w:ascii="Georgia" w:hAnsi="Georgia"/>
              </w:rPr>
            </w:pPr>
            <w:r>
              <w:rPr>
                <w:rFonts w:ascii="Georgia" w:hAnsi="Georgia"/>
              </w:rPr>
              <w:t>47.89</w:t>
            </w:r>
          </w:p>
          <w:p w:rsidR="00AB19AC" w:rsidRPr="00AB19AC" w:rsidRDefault="00AB19AC" w:rsidP="00CF2111">
            <w:pPr>
              <w:widowControl/>
              <w:autoSpaceDE/>
              <w:autoSpaceDN/>
              <w:adjustRightInd/>
              <w:jc w:val="center"/>
              <w:rPr>
                <w:rFonts w:ascii="Georgia" w:hAnsi="Georgia"/>
              </w:rPr>
            </w:pPr>
            <w:r w:rsidRPr="00AB19AC">
              <w:rPr>
                <w:rFonts w:ascii="Georgia" w:hAnsi="Georgia"/>
              </w:rPr>
              <w:t>(</w:t>
            </w:r>
            <w:r w:rsidR="00CF2111">
              <w:rPr>
                <w:rFonts w:ascii="Georgia" w:hAnsi="Georgia"/>
              </w:rPr>
              <w:t>40.84</w:t>
            </w:r>
            <w:r w:rsidRPr="00AB19AC">
              <w:rPr>
                <w:rFonts w:ascii="Georgia" w:hAnsi="Georgia"/>
              </w:rPr>
              <w:t>)</w:t>
            </w:r>
          </w:p>
        </w:tc>
        <w:tc>
          <w:tcPr>
            <w:tcW w:w="0" w:type="auto"/>
            <w:tcBorders>
              <w:top w:val="nil"/>
              <w:left w:val="nil"/>
              <w:bottom w:val="nil"/>
              <w:right w:val="nil"/>
            </w:tcBorders>
            <w:vAlign w:val="center"/>
          </w:tcPr>
          <w:p w:rsidR="00AB19AC" w:rsidRPr="00AB19AC" w:rsidRDefault="00CF2111" w:rsidP="003D5AF6">
            <w:pPr>
              <w:widowControl/>
              <w:autoSpaceDE/>
              <w:autoSpaceDN/>
              <w:adjustRightInd/>
              <w:jc w:val="center"/>
              <w:rPr>
                <w:rFonts w:ascii="Georgia" w:hAnsi="Georgia"/>
              </w:rPr>
            </w:pPr>
            <w:r>
              <w:rPr>
                <w:rFonts w:ascii="Georgia" w:hAnsi="Georgia"/>
              </w:rPr>
              <w:t>49.10</w:t>
            </w:r>
          </w:p>
          <w:p w:rsidR="00AB19AC" w:rsidRPr="00AB19AC" w:rsidRDefault="00B71D34" w:rsidP="00CF2111">
            <w:pPr>
              <w:widowControl/>
              <w:autoSpaceDE/>
              <w:autoSpaceDN/>
              <w:adjustRightInd/>
              <w:jc w:val="center"/>
              <w:rPr>
                <w:rFonts w:ascii="Georgia" w:hAnsi="Georgia"/>
              </w:rPr>
            </w:pPr>
            <w:r>
              <w:rPr>
                <w:rFonts w:ascii="Georgia" w:hAnsi="Georgia"/>
              </w:rPr>
              <w:t>(</w:t>
            </w:r>
            <w:r w:rsidR="00CF2111">
              <w:rPr>
                <w:rFonts w:ascii="Georgia" w:hAnsi="Georgia"/>
              </w:rPr>
              <w:t>45.88</w:t>
            </w:r>
            <w:r w:rsidR="00AB19AC" w:rsidRPr="00AB19AC">
              <w:rPr>
                <w:rFonts w:ascii="Georgia" w:hAnsi="Georgia"/>
              </w:rPr>
              <w:t>)</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SEE</w:t>
            </w:r>
          </w:p>
        </w:tc>
        <w:tc>
          <w:tcPr>
            <w:tcW w:w="0" w:type="auto"/>
            <w:tcBorders>
              <w:top w:val="nil"/>
              <w:left w:val="nil"/>
              <w:bottom w:val="nil"/>
              <w:right w:val="nil"/>
            </w:tcBorders>
          </w:tcPr>
          <w:p w:rsidR="00AB19AC" w:rsidRPr="00AB19AC" w:rsidRDefault="0065568A" w:rsidP="003D5AF6">
            <w:pPr>
              <w:widowControl/>
              <w:autoSpaceDE/>
              <w:autoSpaceDN/>
              <w:adjustRightInd/>
              <w:jc w:val="center"/>
              <w:rPr>
                <w:rFonts w:ascii="Georgia" w:hAnsi="Georgia"/>
              </w:rPr>
            </w:pPr>
            <w:r>
              <w:rPr>
                <w:rFonts w:ascii="Georgia" w:hAnsi="Georgia"/>
              </w:rPr>
              <w:t>3.6</w:t>
            </w:r>
            <w:r w:rsidR="00BB3696">
              <w:rPr>
                <w:rFonts w:ascii="Georgia" w:hAnsi="Georgia"/>
              </w:rPr>
              <w:t>2</w:t>
            </w:r>
          </w:p>
        </w:tc>
        <w:tc>
          <w:tcPr>
            <w:tcW w:w="1375" w:type="dxa"/>
            <w:tcBorders>
              <w:top w:val="nil"/>
              <w:left w:val="nil"/>
              <w:bottom w:val="nil"/>
              <w:right w:val="nil"/>
            </w:tcBorders>
          </w:tcPr>
          <w:p w:rsidR="00AB19AC" w:rsidRPr="00AB19AC" w:rsidRDefault="00AB19AC" w:rsidP="00B27034">
            <w:pPr>
              <w:widowControl/>
              <w:autoSpaceDE/>
              <w:autoSpaceDN/>
              <w:adjustRightInd/>
              <w:jc w:val="center"/>
              <w:rPr>
                <w:rFonts w:ascii="Georgia" w:hAnsi="Georgia"/>
              </w:rPr>
            </w:pPr>
            <w:r w:rsidRPr="00AB19AC">
              <w:rPr>
                <w:rFonts w:ascii="Georgia" w:hAnsi="Georgia"/>
              </w:rPr>
              <w:t>3.</w:t>
            </w:r>
            <w:r w:rsidR="00B27034">
              <w:rPr>
                <w:rFonts w:ascii="Georgia" w:hAnsi="Georgia"/>
              </w:rPr>
              <w:t>38</w:t>
            </w:r>
          </w:p>
        </w:tc>
        <w:tc>
          <w:tcPr>
            <w:tcW w:w="0" w:type="auto"/>
            <w:tcBorders>
              <w:top w:val="nil"/>
              <w:left w:val="nil"/>
              <w:bottom w:val="nil"/>
              <w:right w:val="nil"/>
            </w:tcBorders>
            <w:vAlign w:val="center"/>
          </w:tcPr>
          <w:p w:rsidR="00AB19AC" w:rsidRPr="00AB19AC" w:rsidRDefault="00012E13" w:rsidP="00CF2111">
            <w:pPr>
              <w:widowControl/>
              <w:autoSpaceDE/>
              <w:autoSpaceDN/>
              <w:adjustRightInd/>
              <w:jc w:val="center"/>
              <w:rPr>
                <w:rFonts w:ascii="Georgia" w:hAnsi="Georgia"/>
              </w:rPr>
            </w:pPr>
            <w:r>
              <w:rPr>
                <w:rFonts w:ascii="Georgia" w:hAnsi="Georgia"/>
              </w:rPr>
              <w:t>2.</w:t>
            </w:r>
            <w:r w:rsidR="00CF2111">
              <w:rPr>
                <w:rFonts w:ascii="Georgia" w:hAnsi="Georgia"/>
              </w:rPr>
              <w:t>10</w:t>
            </w:r>
          </w:p>
        </w:tc>
        <w:tc>
          <w:tcPr>
            <w:tcW w:w="0" w:type="auto"/>
            <w:tcBorders>
              <w:top w:val="nil"/>
              <w:left w:val="nil"/>
              <w:bottom w:val="nil"/>
              <w:right w:val="nil"/>
            </w:tcBorders>
            <w:vAlign w:val="center"/>
          </w:tcPr>
          <w:p w:rsidR="00AB19AC" w:rsidRPr="00AB19AC" w:rsidRDefault="00B71D34" w:rsidP="003D5AF6">
            <w:pPr>
              <w:widowControl/>
              <w:autoSpaceDE/>
              <w:autoSpaceDN/>
              <w:adjustRightInd/>
              <w:jc w:val="center"/>
              <w:rPr>
                <w:rFonts w:ascii="Georgia" w:hAnsi="Georgia"/>
              </w:rPr>
            </w:pPr>
            <w:r>
              <w:rPr>
                <w:rFonts w:ascii="Georgia" w:hAnsi="Georgia"/>
              </w:rPr>
              <w:t>1.</w:t>
            </w:r>
            <w:r w:rsidR="00B27034">
              <w:rPr>
                <w:rFonts w:ascii="Georgia" w:hAnsi="Georgia"/>
              </w:rPr>
              <w:t>99</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Adj. R2</w:t>
            </w:r>
          </w:p>
        </w:tc>
        <w:tc>
          <w:tcPr>
            <w:tcW w:w="0" w:type="auto"/>
            <w:tcBorders>
              <w:top w:val="nil"/>
              <w:left w:val="nil"/>
              <w:bottom w:val="nil"/>
              <w:right w:val="nil"/>
            </w:tcBorders>
          </w:tcPr>
          <w:p w:rsidR="00AB19AC" w:rsidRPr="00AB19AC" w:rsidRDefault="0065568A" w:rsidP="003D5AF6">
            <w:pPr>
              <w:widowControl/>
              <w:autoSpaceDE/>
              <w:autoSpaceDN/>
              <w:adjustRightInd/>
              <w:jc w:val="center"/>
              <w:rPr>
                <w:rFonts w:ascii="Georgia" w:hAnsi="Georgia"/>
              </w:rPr>
            </w:pPr>
            <w:r>
              <w:rPr>
                <w:rFonts w:ascii="Georgia" w:hAnsi="Georgia"/>
              </w:rPr>
              <w:t>0.65</w:t>
            </w:r>
          </w:p>
        </w:tc>
        <w:tc>
          <w:tcPr>
            <w:tcW w:w="1375" w:type="dxa"/>
            <w:tcBorders>
              <w:top w:val="nil"/>
              <w:left w:val="nil"/>
              <w:bottom w:val="nil"/>
              <w:right w:val="nil"/>
            </w:tcBorders>
          </w:tcPr>
          <w:p w:rsidR="00AB19AC" w:rsidRPr="00AB19AC" w:rsidRDefault="00AB19AC" w:rsidP="00B27034">
            <w:pPr>
              <w:widowControl/>
              <w:autoSpaceDE/>
              <w:autoSpaceDN/>
              <w:adjustRightInd/>
              <w:jc w:val="center"/>
              <w:rPr>
                <w:rFonts w:ascii="Georgia" w:hAnsi="Georgia"/>
              </w:rPr>
            </w:pPr>
            <w:r w:rsidRPr="00AB19AC">
              <w:rPr>
                <w:rFonts w:ascii="Georgia" w:hAnsi="Georgia"/>
              </w:rPr>
              <w:t>0.</w:t>
            </w:r>
            <w:r w:rsidR="00B27034">
              <w:rPr>
                <w:rFonts w:ascii="Georgia" w:hAnsi="Georgia"/>
              </w:rPr>
              <w:t>69</w:t>
            </w:r>
          </w:p>
        </w:tc>
        <w:tc>
          <w:tcPr>
            <w:tcW w:w="0" w:type="auto"/>
            <w:tcBorders>
              <w:top w:val="nil"/>
              <w:left w:val="nil"/>
              <w:bottom w:val="nil"/>
              <w:right w:val="nil"/>
            </w:tcBorders>
            <w:vAlign w:val="center"/>
          </w:tcPr>
          <w:p w:rsidR="00AB19AC" w:rsidRPr="00AB19AC" w:rsidRDefault="00012E13" w:rsidP="00CF2111">
            <w:pPr>
              <w:widowControl/>
              <w:autoSpaceDE/>
              <w:autoSpaceDN/>
              <w:adjustRightInd/>
              <w:jc w:val="center"/>
              <w:rPr>
                <w:rFonts w:ascii="Georgia" w:hAnsi="Georgia"/>
              </w:rPr>
            </w:pPr>
            <w:r>
              <w:rPr>
                <w:rFonts w:ascii="Georgia" w:hAnsi="Georgia"/>
              </w:rPr>
              <w:t>0.</w:t>
            </w:r>
            <w:r w:rsidR="00CF2111">
              <w:rPr>
                <w:rFonts w:ascii="Georgia" w:hAnsi="Georgia"/>
              </w:rPr>
              <w:t>90</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0.9</w:t>
            </w:r>
            <w:r w:rsidR="00B27034">
              <w:rPr>
                <w:rFonts w:ascii="Georgia" w:hAnsi="Georgia"/>
              </w:rPr>
              <w:t>1</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D.W.</w:t>
            </w:r>
          </w:p>
        </w:tc>
        <w:tc>
          <w:tcPr>
            <w:tcW w:w="0" w:type="auto"/>
            <w:tcBorders>
              <w:top w:val="nil"/>
              <w:left w:val="nil"/>
              <w:bottom w:val="nil"/>
              <w:right w:val="nil"/>
            </w:tcBorders>
          </w:tcPr>
          <w:p w:rsidR="00AB19AC" w:rsidRPr="00AB19AC" w:rsidRDefault="00BB3696" w:rsidP="003D5AF6">
            <w:pPr>
              <w:widowControl/>
              <w:autoSpaceDE/>
              <w:autoSpaceDN/>
              <w:adjustRightInd/>
              <w:jc w:val="center"/>
              <w:rPr>
                <w:rFonts w:ascii="Georgia" w:hAnsi="Georgia"/>
              </w:rPr>
            </w:pPr>
            <w:r>
              <w:rPr>
                <w:rFonts w:ascii="Georgia" w:hAnsi="Georgia"/>
              </w:rPr>
              <w:t>2.1</w:t>
            </w:r>
          </w:p>
        </w:tc>
        <w:tc>
          <w:tcPr>
            <w:tcW w:w="1375" w:type="dxa"/>
            <w:tcBorders>
              <w:top w:val="nil"/>
              <w:left w:val="nil"/>
              <w:bottom w:val="nil"/>
              <w:right w:val="nil"/>
            </w:tcBorders>
          </w:tcPr>
          <w:p w:rsidR="00AB19AC" w:rsidRPr="00AB19AC" w:rsidRDefault="00AB19AC" w:rsidP="00B27034">
            <w:pPr>
              <w:widowControl/>
              <w:autoSpaceDE/>
              <w:autoSpaceDN/>
              <w:adjustRightInd/>
              <w:jc w:val="center"/>
              <w:rPr>
                <w:rFonts w:ascii="Georgia" w:hAnsi="Georgia"/>
              </w:rPr>
            </w:pPr>
            <w:r w:rsidRPr="00AB19AC">
              <w:rPr>
                <w:rFonts w:ascii="Georgia" w:hAnsi="Georgia"/>
              </w:rPr>
              <w:t>1.</w:t>
            </w:r>
            <w:r w:rsidR="00B27034">
              <w:rPr>
                <w:rFonts w:ascii="Georgia" w:hAnsi="Georgia"/>
              </w:rPr>
              <w:t>75</w:t>
            </w:r>
          </w:p>
        </w:tc>
        <w:tc>
          <w:tcPr>
            <w:tcW w:w="0" w:type="auto"/>
            <w:tcBorders>
              <w:top w:val="nil"/>
              <w:left w:val="nil"/>
              <w:bottom w:val="nil"/>
              <w:right w:val="nil"/>
            </w:tcBorders>
            <w:vAlign w:val="center"/>
          </w:tcPr>
          <w:p w:rsidR="00AB19AC" w:rsidRPr="00AB19AC" w:rsidRDefault="00AB19AC" w:rsidP="00CF2111">
            <w:pPr>
              <w:widowControl/>
              <w:autoSpaceDE/>
              <w:autoSpaceDN/>
              <w:adjustRightInd/>
              <w:jc w:val="center"/>
              <w:rPr>
                <w:rFonts w:ascii="Georgia" w:hAnsi="Georgia"/>
              </w:rPr>
            </w:pPr>
            <w:r w:rsidRPr="00AB19AC">
              <w:rPr>
                <w:rFonts w:ascii="Georgia" w:hAnsi="Georgia"/>
              </w:rPr>
              <w:t>1.</w:t>
            </w:r>
            <w:r w:rsidR="00CF2111">
              <w:rPr>
                <w:rFonts w:ascii="Georgia" w:hAnsi="Georgia"/>
              </w:rPr>
              <w:t>59</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1.</w:t>
            </w:r>
            <w:r w:rsidR="00B27034">
              <w:rPr>
                <w:rFonts w:ascii="Georgia" w:hAnsi="Georgia"/>
              </w:rPr>
              <w:t>6</w:t>
            </w:r>
            <w:r w:rsidR="00E32C69">
              <w:rPr>
                <w:rFonts w:ascii="Georgia" w:hAnsi="Georgia"/>
              </w:rPr>
              <w:t>5</w:t>
            </w:r>
          </w:p>
        </w:tc>
      </w:tr>
      <w:tr w:rsidR="00CF2111" w:rsidRPr="00AB19AC" w:rsidTr="00B01644">
        <w:trPr>
          <w:jc w:val="center"/>
        </w:trPr>
        <w:tc>
          <w:tcPr>
            <w:tcW w:w="0" w:type="auto"/>
            <w:tcBorders>
              <w:top w:val="nil"/>
              <w:left w:val="nil"/>
              <w:bottom w:val="nil"/>
              <w:right w:val="nil"/>
            </w:tcBorders>
          </w:tcPr>
          <w:p w:rsidR="00AB19AC" w:rsidRPr="00AB19AC" w:rsidRDefault="00AB19AC" w:rsidP="00AB19AC">
            <w:pPr>
              <w:widowControl/>
              <w:autoSpaceDE/>
              <w:autoSpaceDN/>
              <w:adjustRightInd/>
              <w:rPr>
                <w:rFonts w:ascii="Georgia" w:hAnsi="Georgia"/>
              </w:rPr>
            </w:pPr>
            <w:r w:rsidRPr="00AB19AC">
              <w:rPr>
                <w:rFonts w:ascii="Georgia" w:hAnsi="Georgia"/>
              </w:rPr>
              <w:t>N</w:t>
            </w:r>
          </w:p>
        </w:tc>
        <w:tc>
          <w:tcPr>
            <w:tcW w:w="0" w:type="auto"/>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3</w:t>
            </w:r>
            <w:r w:rsidR="0065568A">
              <w:rPr>
                <w:rFonts w:ascii="Georgia" w:hAnsi="Georgia"/>
              </w:rPr>
              <w:t>3</w:t>
            </w:r>
          </w:p>
        </w:tc>
        <w:tc>
          <w:tcPr>
            <w:tcW w:w="1375" w:type="dxa"/>
            <w:tcBorders>
              <w:top w:val="nil"/>
              <w:left w:val="nil"/>
              <w:bottom w:val="nil"/>
              <w:right w:val="nil"/>
            </w:tcBorders>
          </w:tcPr>
          <w:p w:rsidR="00AB19AC" w:rsidRPr="00AB19AC" w:rsidRDefault="00AB19AC" w:rsidP="003D5AF6">
            <w:pPr>
              <w:widowControl/>
              <w:autoSpaceDE/>
              <w:autoSpaceDN/>
              <w:adjustRightInd/>
              <w:jc w:val="center"/>
              <w:rPr>
                <w:rFonts w:ascii="Georgia" w:hAnsi="Georgia"/>
              </w:rPr>
            </w:pPr>
            <w:r w:rsidRPr="00AB19AC">
              <w:rPr>
                <w:rFonts w:ascii="Georgia" w:hAnsi="Georgia"/>
              </w:rPr>
              <w:t>3</w:t>
            </w:r>
            <w:r w:rsidR="00B71D34">
              <w:rPr>
                <w:rFonts w:ascii="Georgia" w:hAnsi="Georgia"/>
              </w:rPr>
              <w:t>3</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2</w:t>
            </w:r>
            <w:r w:rsidR="00012E13">
              <w:rPr>
                <w:rFonts w:ascii="Georgia" w:hAnsi="Georgia"/>
              </w:rPr>
              <w:t>4</w:t>
            </w:r>
          </w:p>
        </w:tc>
        <w:tc>
          <w:tcPr>
            <w:tcW w:w="0" w:type="auto"/>
            <w:tcBorders>
              <w:top w:val="nil"/>
              <w:left w:val="nil"/>
              <w:bottom w:val="nil"/>
              <w:right w:val="nil"/>
            </w:tcBorders>
            <w:vAlign w:val="center"/>
          </w:tcPr>
          <w:p w:rsidR="00AB19AC" w:rsidRPr="00AB19AC" w:rsidRDefault="00AB19AC" w:rsidP="003D5AF6">
            <w:pPr>
              <w:widowControl/>
              <w:autoSpaceDE/>
              <w:autoSpaceDN/>
              <w:adjustRightInd/>
              <w:jc w:val="center"/>
              <w:rPr>
                <w:rFonts w:ascii="Georgia" w:hAnsi="Georgia"/>
              </w:rPr>
            </w:pPr>
            <w:r w:rsidRPr="00AB19AC">
              <w:rPr>
                <w:rFonts w:ascii="Georgia" w:hAnsi="Georgia"/>
              </w:rPr>
              <w:t>2</w:t>
            </w:r>
            <w:r w:rsidR="00B71D34">
              <w:rPr>
                <w:rFonts w:ascii="Georgia" w:hAnsi="Georgia"/>
              </w:rPr>
              <w:t>4</w:t>
            </w:r>
          </w:p>
        </w:tc>
      </w:tr>
    </w:tbl>
    <w:p w:rsidR="00CD06C3" w:rsidRDefault="00CD06C3">
      <w:pPr>
        <w:widowControl/>
        <w:autoSpaceDE/>
        <w:autoSpaceDN/>
        <w:adjustRightInd/>
        <w:rPr>
          <w:rFonts w:ascii="Georgia" w:hAnsi="Georgia"/>
        </w:rPr>
      </w:pPr>
    </w:p>
    <w:p w:rsidR="00CD06C3" w:rsidRDefault="00CD06C3">
      <w:pPr>
        <w:widowControl/>
        <w:autoSpaceDE/>
        <w:autoSpaceDN/>
        <w:adjustRightInd/>
        <w:rPr>
          <w:rFonts w:ascii="Georgia" w:hAnsi="Georgia"/>
        </w:rPr>
      </w:pPr>
    </w:p>
    <w:p w:rsidR="00472D63" w:rsidRDefault="00472D63">
      <w:pPr>
        <w:widowControl/>
        <w:autoSpaceDE/>
        <w:autoSpaceDN/>
        <w:adjustRightInd/>
        <w:rPr>
          <w:rFonts w:ascii="Georgia" w:hAnsi="Georgia"/>
        </w:rPr>
      </w:pPr>
      <w:r>
        <w:rPr>
          <w:rFonts w:ascii="Georgia" w:hAnsi="Georgia"/>
        </w:rPr>
        <w:br w:type="page"/>
      </w:r>
    </w:p>
    <w:p w:rsidR="00D91274" w:rsidRDefault="00D91274">
      <w:pPr>
        <w:widowControl/>
        <w:autoSpaceDE/>
        <w:autoSpaceDN/>
        <w:adjustRightInd/>
        <w:rPr>
          <w:rFonts w:ascii="Georgia" w:hAnsi="Georgia"/>
        </w:rPr>
      </w:pPr>
    </w:p>
    <w:p w:rsidR="00D91274" w:rsidRDefault="00D91274">
      <w:pPr>
        <w:widowControl/>
        <w:autoSpaceDE/>
        <w:autoSpaceDN/>
        <w:adjustRightInd/>
        <w:rPr>
          <w:rFonts w:ascii="Georgia" w:hAnsi="Georgia"/>
        </w:rPr>
      </w:pPr>
    </w:p>
    <w:p w:rsidR="00D91274" w:rsidRDefault="00D91274">
      <w:pPr>
        <w:widowControl/>
        <w:autoSpaceDE/>
        <w:autoSpaceDN/>
        <w:adjustRightInd/>
        <w:rPr>
          <w:rFonts w:ascii="Georgia" w:hAnsi="Georgia"/>
        </w:rPr>
      </w:pPr>
      <w:r>
        <w:rPr>
          <w:noProof/>
        </w:rPr>
        <w:drawing>
          <wp:inline distT="0" distB="0" distL="0" distR="0" wp14:anchorId="14F6BBFB" wp14:editId="4F6E7D30">
            <wp:extent cx="5486400" cy="3984088"/>
            <wp:effectExtent l="0" t="0" r="1905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Georgia" w:hAnsi="Georgia"/>
        </w:rPr>
        <w:br w:type="page"/>
      </w:r>
    </w:p>
    <w:sectPr w:rsidR="00D91274" w:rsidSect="00EB1ED2">
      <w:footerReference w:type="even" r:id="rId11"/>
      <w:footerReference w:type="default" r:id="rId12"/>
      <w:endnotePr>
        <w:numFmt w:val="decimal"/>
      </w:endnotePr>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31E" w:rsidRPr="00006CFB" w:rsidRDefault="00A8231E" w:rsidP="00006CFB">
      <w:pPr>
        <w:pStyle w:val="Footer"/>
      </w:pPr>
    </w:p>
  </w:endnote>
  <w:endnote w:type="continuationSeparator" w:id="0">
    <w:p w:rsidR="00A8231E" w:rsidRPr="00006CFB" w:rsidRDefault="00A8231E" w:rsidP="00006CFB">
      <w:pPr>
        <w:pStyle w:val="Footer"/>
      </w:pPr>
    </w:p>
  </w:endnote>
  <w:endnote w:type="continuationNotice" w:id="1">
    <w:p w:rsidR="00A8231E" w:rsidRDefault="00A8231E"/>
  </w:endnote>
  <w:endnote w:id="2">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Available at </w:t>
      </w:r>
      <w:hyperlink r:id="rId1" w:history="1">
        <w:r w:rsidRPr="001A658C">
          <w:rPr>
            <w:rStyle w:val="Hyperlink"/>
            <w:rFonts w:ascii="Georgia" w:hAnsi="Georgia"/>
            <w:sz w:val="24"/>
            <w:szCs w:val="24"/>
          </w:rPr>
          <w:t>http://uwf.edu/govt/documents/Cuzan-2009-Will%20Barack%20Obama%20Be%20a%20One-Term%20President-tcsdaily.pdf</w:t>
        </w:r>
      </w:hyperlink>
      <w:r w:rsidRPr="001A658C">
        <w:rPr>
          <w:rFonts w:ascii="Georgia" w:hAnsi="Georgia"/>
          <w:sz w:val="24"/>
          <w:szCs w:val="24"/>
        </w:rPr>
        <w:t xml:space="preserve">.  </w:t>
      </w:r>
    </w:p>
  </w:endnote>
  <w:endnote w:id="3">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For </w:t>
      </w:r>
      <w:r w:rsidR="00D17A1D">
        <w:rPr>
          <w:rFonts w:ascii="Georgia" w:hAnsi="Georgia"/>
          <w:sz w:val="24"/>
          <w:szCs w:val="24"/>
        </w:rPr>
        <w:t>a similar</w:t>
      </w:r>
      <w:r w:rsidRPr="001A658C">
        <w:rPr>
          <w:rFonts w:ascii="Georgia" w:hAnsi="Georgia"/>
          <w:sz w:val="24"/>
          <w:szCs w:val="24"/>
        </w:rPr>
        <w:t xml:space="preserve"> reason, in October 2005, three years before the Wall Street meltdown, I had </w:t>
      </w:r>
      <w:r w:rsidR="00D17A1D">
        <w:rPr>
          <w:rFonts w:ascii="Georgia" w:hAnsi="Georgia"/>
          <w:sz w:val="24"/>
          <w:szCs w:val="24"/>
        </w:rPr>
        <w:t xml:space="preserve">questioned </w:t>
      </w:r>
      <w:r w:rsidRPr="001A658C">
        <w:rPr>
          <w:rFonts w:ascii="Georgia" w:hAnsi="Georgia"/>
          <w:sz w:val="24"/>
          <w:szCs w:val="24"/>
        </w:rPr>
        <w:t xml:space="preserve">the Republicans’ chances in 2008.  See “Don’t Bet the Ranch on the Republicans Retaining the White House,” available at </w:t>
      </w:r>
      <w:hyperlink r:id="rId2" w:history="1">
        <w:r w:rsidRPr="001A658C">
          <w:rPr>
            <w:rStyle w:val="Hyperlink"/>
            <w:rFonts w:ascii="Georgia" w:hAnsi="Georgia"/>
            <w:sz w:val="24"/>
            <w:szCs w:val="24"/>
          </w:rPr>
          <w:t>http://uwf.edu/govt/facultyforums/documents/Dontbettheranch_001.pdf</w:t>
        </w:r>
      </w:hyperlink>
      <w:r w:rsidRPr="001A658C">
        <w:rPr>
          <w:rFonts w:ascii="Georgia" w:hAnsi="Georgia"/>
          <w:sz w:val="24"/>
          <w:szCs w:val="24"/>
        </w:rPr>
        <w:t xml:space="preserve">. </w:t>
      </w:r>
    </w:p>
  </w:endnote>
  <w:endnote w:id="4">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w:t>
      </w:r>
      <w:proofErr w:type="gramStart"/>
      <w:r w:rsidRPr="001A658C">
        <w:rPr>
          <w:rFonts w:ascii="Georgia" w:hAnsi="Georgia"/>
          <w:sz w:val="24"/>
          <w:szCs w:val="24"/>
        </w:rPr>
        <w:t>The White House.</w:t>
      </w:r>
      <w:proofErr w:type="gramEnd"/>
      <w:r w:rsidRPr="001A658C">
        <w:rPr>
          <w:rFonts w:ascii="Georgia" w:hAnsi="Georgia"/>
          <w:sz w:val="24"/>
          <w:szCs w:val="24"/>
        </w:rPr>
        <w:t xml:space="preserve">  </w:t>
      </w:r>
      <w:proofErr w:type="gramStart"/>
      <w:r w:rsidRPr="001A658C">
        <w:rPr>
          <w:rFonts w:ascii="Georgia" w:hAnsi="Georgia"/>
          <w:sz w:val="24"/>
          <w:szCs w:val="24"/>
        </w:rPr>
        <w:t>Office of Management and Budget.</w:t>
      </w:r>
      <w:proofErr w:type="gramEnd"/>
      <w:r w:rsidRPr="001A658C">
        <w:rPr>
          <w:rFonts w:ascii="Georgia" w:hAnsi="Georgia"/>
          <w:sz w:val="24"/>
          <w:szCs w:val="24"/>
        </w:rPr>
        <w:t xml:space="preserve"> The Budget.  Historical Tables.  Table 1.2.  </w:t>
      </w:r>
      <w:hyperlink r:id="rId3" w:history="1">
        <w:r w:rsidRPr="001A658C">
          <w:rPr>
            <w:rStyle w:val="Hyperlink"/>
            <w:rFonts w:ascii="Georgia" w:hAnsi="Georgia"/>
            <w:sz w:val="24"/>
            <w:szCs w:val="24"/>
          </w:rPr>
          <w:t>http://www.whitehouse.gov/omb/budget/Historicals/</w:t>
        </w:r>
      </w:hyperlink>
      <w:r w:rsidRPr="001A658C">
        <w:rPr>
          <w:rFonts w:ascii="Georgia" w:hAnsi="Georgia"/>
          <w:sz w:val="24"/>
          <w:szCs w:val="24"/>
        </w:rPr>
        <w:t>.  Downloaded 3-11-2012.</w:t>
      </w:r>
    </w:p>
  </w:endnote>
  <w:endnote w:id="5">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All data analyzed </w:t>
      </w:r>
      <w:r w:rsidR="0062087B">
        <w:rPr>
          <w:rFonts w:ascii="Georgia" w:hAnsi="Georgia"/>
          <w:sz w:val="24"/>
          <w:szCs w:val="24"/>
        </w:rPr>
        <w:t>here</w:t>
      </w:r>
      <w:r w:rsidRPr="001A658C">
        <w:rPr>
          <w:rFonts w:ascii="Georgia" w:hAnsi="Georgia"/>
          <w:sz w:val="24"/>
          <w:szCs w:val="24"/>
        </w:rPr>
        <w:t>in are available</w:t>
      </w:r>
      <w:r w:rsidR="0062087B">
        <w:rPr>
          <w:rFonts w:ascii="Georgia" w:hAnsi="Georgia"/>
          <w:sz w:val="24"/>
          <w:szCs w:val="24"/>
        </w:rPr>
        <w:t xml:space="preserve"> in a longer version of this paper presented at the APSA in September, posted on the author’s publications website and at SSRN.com.</w:t>
      </w:r>
    </w:p>
  </w:endnote>
  <w:endnote w:id="6">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Alan </w:t>
      </w:r>
      <w:proofErr w:type="spellStart"/>
      <w:r w:rsidRPr="001A658C">
        <w:rPr>
          <w:rFonts w:ascii="Georgia" w:hAnsi="Georgia"/>
          <w:sz w:val="24"/>
          <w:szCs w:val="24"/>
        </w:rPr>
        <w:t>Lichtman</w:t>
      </w:r>
      <w:proofErr w:type="spellEnd"/>
      <w:r w:rsidRPr="001A658C">
        <w:rPr>
          <w:rFonts w:ascii="Georgia" w:hAnsi="Georgia"/>
          <w:sz w:val="24"/>
          <w:szCs w:val="24"/>
        </w:rPr>
        <w:t xml:space="preserve"> does not score President Obama as charismatic in his “Keys to the White House” model.  As he puts it, “Obama has not regained the magic of his campaign, and now falls short of gaining the Incumbent Charisma/hero Key 12,” (</w:t>
      </w:r>
      <w:proofErr w:type="spellStart"/>
      <w:r w:rsidRPr="001A658C">
        <w:rPr>
          <w:rFonts w:ascii="Georgia" w:hAnsi="Georgia"/>
          <w:sz w:val="24"/>
          <w:szCs w:val="24"/>
        </w:rPr>
        <w:t>Lichtman</w:t>
      </w:r>
      <w:proofErr w:type="spellEnd"/>
      <w:r w:rsidRPr="001A658C">
        <w:rPr>
          <w:rFonts w:ascii="Georgia" w:hAnsi="Georgia"/>
          <w:sz w:val="24"/>
          <w:szCs w:val="24"/>
        </w:rPr>
        <w:t xml:space="preserve"> 2010).  For a scholarly explanation of the model, see </w:t>
      </w:r>
      <w:proofErr w:type="spellStart"/>
      <w:r w:rsidRPr="001A658C">
        <w:rPr>
          <w:rFonts w:ascii="Georgia" w:hAnsi="Georgia"/>
          <w:sz w:val="24"/>
          <w:szCs w:val="24"/>
        </w:rPr>
        <w:t>Lichtman</w:t>
      </w:r>
      <w:proofErr w:type="spellEnd"/>
      <w:r w:rsidRPr="001A658C">
        <w:rPr>
          <w:rFonts w:ascii="Georgia" w:hAnsi="Georgia"/>
          <w:sz w:val="24"/>
          <w:szCs w:val="24"/>
        </w:rPr>
        <w:t xml:space="preserve"> (2007).</w:t>
      </w:r>
    </w:p>
  </w:endnote>
  <w:endnote w:id="7">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A forward shift in the support function would be equivalent to a rightward shift in the demand function, which implies that consumers are willing to buy more of the good or service at any given price; if the supply curve is not perfectly elastic, this would result in more of the product being sold at a higher price.  Similarly, a forward shift in the support function would signify that voters are willing to support an increase in the share of GDP spent by Washington. This shift may be temporary, as in during a war widely regarded as legitimate, or long-term, caused by changes in demography, tastes, income, etc.  See </w:t>
      </w:r>
      <w:proofErr w:type="spellStart"/>
      <w:r w:rsidRPr="001A658C">
        <w:rPr>
          <w:rFonts w:ascii="Georgia" w:hAnsi="Georgia"/>
          <w:sz w:val="24"/>
          <w:szCs w:val="24"/>
        </w:rPr>
        <w:t>Cuzán</w:t>
      </w:r>
      <w:proofErr w:type="spellEnd"/>
      <w:r w:rsidRPr="001A658C">
        <w:rPr>
          <w:rFonts w:ascii="Georgia" w:hAnsi="Georgia"/>
          <w:sz w:val="24"/>
          <w:szCs w:val="24"/>
        </w:rPr>
        <w:t xml:space="preserve"> and </w:t>
      </w:r>
      <w:proofErr w:type="spellStart"/>
      <w:r w:rsidRPr="001A658C">
        <w:rPr>
          <w:rFonts w:ascii="Georgia" w:hAnsi="Georgia"/>
          <w:sz w:val="24"/>
          <w:szCs w:val="24"/>
        </w:rPr>
        <w:t>Bundrick</w:t>
      </w:r>
      <w:proofErr w:type="spellEnd"/>
      <w:r w:rsidRPr="001A658C">
        <w:rPr>
          <w:rFonts w:ascii="Georgia" w:hAnsi="Georgia"/>
          <w:sz w:val="24"/>
          <w:szCs w:val="24"/>
        </w:rPr>
        <w:t xml:space="preserve"> (2004). </w:t>
      </w:r>
    </w:p>
  </w:endnote>
  <w:endnote w:id="8">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If both derivatives equal zero, this indicates a steady-state policy.  </w:t>
      </w:r>
      <w:r w:rsidR="0062087B">
        <w:rPr>
          <w:rFonts w:ascii="Georgia" w:hAnsi="Georgia"/>
          <w:sz w:val="24"/>
          <w:szCs w:val="24"/>
        </w:rPr>
        <w:t>There is no such case in the data.</w:t>
      </w:r>
    </w:p>
  </w:endnote>
  <w:endnote w:id="9">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The reader of previous papers on the fiscal model (</w:t>
      </w:r>
      <w:proofErr w:type="spellStart"/>
      <w:r w:rsidRPr="001A658C">
        <w:rPr>
          <w:rFonts w:ascii="Georgia" w:hAnsi="Georgia"/>
          <w:sz w:val="24"/>
          <w:szCs w:val="24"/>
        </w:rPr>
        <w:t>Cuzán</w:t>
      </w:r>
      <w:proofErr w:type="spellEnd"/>
      <w:r w:rsidRPr="001A658C">
        <w:rPr>
          <w:rFonts w:ascii="Georgia" w:hAnsi="Georgia"/>
          <w:sz w:val="24"/>
          <w:szCs w:val="24"/>
        </w:rPr>
        <w:t xml:space="preserve"> and </w:t>
      </w:r>
      <w:proofErr w:type="spellStart"/>
      <w:r w:rsidRPr="001A658C">
        <w:rPr>
          <w:rFonts w:ascii="Georgia" w:hAnsi="Georgia"/>
          <w:sz w:val="24"/>
          <w:szCs w:val="24"/>
        </w:rPr>
        <w:t>Bundrick</w:t>
      </w:r>
      <w:proofErr w:type="spellEnd"/>
      <w:r w:rsidRPr="001A658C">
        <w:rPr>
          <w:rFonts w:ascii="Georgia" w:hAnsi="Georgia"/>
          <w:sz w:val="24"/>
          <w:szCs w:val="24"/>
        </w:rPr>
        <w:t xml:space="preserve"> 2008, 2009), will note a change in labels in describing fiscal policy with the alternative variables.  The revision is done for the sake of symmetry in nomenclature.  </w:t>
      </w:r>
    </w:p>
  </w:endnote>
  <w:endnote w:id="10">
    <w:p w:rsidR="001A658C" w:rsidRPr="00020B9F"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It is often asked whether the relation between fiscal policy and the vote may be spurious, the result of their both being related to the economy.  When the economy contracts, so goes the argument, federal counter-cyclical policy responds by spending more.  Yet, the evidence does not support that explanation.  There is no statistically significant correlation between the economic and the fiscal measures, except two, and they are both </w:t>
      </w:r>
      <w:r w:rsidRPr="001A658C">
        <w:rPr>
          <w:rFonts w:ascii="Georgia" w:hAnsi="Georgia"/>
          <w:i/>
          <w:sz w:val="24"/>
          <w:szCs w:val="24"/>
        </w:rPr>
        <w:t>positive</w:t>
      </w:r>
      <w:r w:rsidRPr="001A658C">
        <w:rPr>
          <w:rFonts w:ascii="Georgia" w:hAnsi="Georgia"/>
          <w:sz w:val="24"/>
          <w:szCs w:val="24"/>
        </w:rPr>
        <w:t>:   GROWTH and F (</w:t>
      </w:r>
      <w:r w:rsidRPr="001A658C">
        <w:rPr>
          <w:rFonts w:ascii="Georgia" w:hAnsi="Georgia"/>
          <w:i/>
          <w:sz w:val="24"/>
          <w:szCs w:val="24"/>
        </w:rPr>
        <w:t>r=</w:t>
      </w:r>
      <w:r w:rsidRPr="001A658C">
        <w:rPr>
          <w:rFonts w:ascii="Georgia" w:hAnsi="Georgia"/>
          <w:sz w:val="24"/>
          <w:szCs w:val="24"/>
        </w:rPr>
        <w:t>0.34) and ALLNEWS and F1 (</w:t>
      </w:r>
      <w:r w:rsidRPr="001A658C">
        <w:rPr>
          <w:rFonts w:ascii="Georgia" w:hAnsi="Georgia"/>
          <w:i/>
          <w:sz w:val="24"/>
          <w:szCs w:val="24"/>
        </w:rPr>
        <w:t>r=</w:t>
      </w:r>
      <w:r w:rsidRPr="001A658C">
        <w:rPr>
          <w:rFonts w:ascii="Georgia" w:hAnsi="Georgia"/>
          <w:sz w:val="24"/>
          <w:szCs w:val="24"/>
        </w:rPr>
        <w:t>0.36</w:t>
      </w:r>
      <w:r w:rsidRPr="001A658C">
        <w:rPr>
          <w:rFonts w:ascii="Georgia" w:hAnsi="Georgia"/>
          <w:i/>
          <w:sz w:val="24"/>
          <w:szCs w:val="24"/>
        </w:rPr>
        <w:t xml:space="preserve">).  </w:t>
      </w:r>
      <w:r w:rsidRPr="001A658C">
        <w:rPr>
          <w:rFonts w:ascii="Georgia" w:hAnsi="Georgia"/>
          <w:sz w:val="24"/>
          <w:szCs w:val="24"/>
        </w:rPr>
        <w:t>This may be accounted for by the fact that a growing economy generates more revenues for the federal government, stimulating greater spending.</w:t>
      </w:r>
      <w:r w:rsidRPr="001A658C">
        <w:rPr>
          <w:rFonts w:ascii="Georgia" w:hAnsi="Georgia"/>
          <w:i/>
          <w:sz w:val="24"/>
          <w:szCs w:val="24"/>
        </w:rPr>
        <w:t xml:space="preserve">  </w:t>
      </w:r>
    </w:p>
  </w:endnote>
  <w:endnote w:id="11">
    <w:p w:rsidR="001A658C" w:rsidRPr="001A658C"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Grover Cleveland is an ambiguous case.  He barely won the popular vote in 1884, but lost in the Electoral College.  He made a comeback at the next election, the only president ever to have done so.</w:t>
      </w:r>
    </w:p>
  </w:endnote>
  <w:endnote w:id="12">
    <w:p w:rsidR="001A658C" w:rsidRPr="00933340" w:rsidRDefault="001A658C" w:rsidP="003841F6">
      <w:pPr>
        <w:pStyle w:val="EndnoteText"/>
        <w:spacing w:line="480" w:lineRule="auto"/>
        <w:rPr>
          <w:rFonts w:ascii="Georgia" w:hAnsi="Georgia"/>
          <w:sz w:val="24"/>
          <w:szCs w:val="24"/>
        </w:rPr>
      </w:pPr>
      <w:r w:rsidRPr="001A658C">
        <w:rPr>
          <w:rStyle w:val="EndnoteReference"/>
          <w:rFonts w:ascii="Georgia" w:hAnsi="Georgia"/>
          <w:sz w:val="24"/>
          <w:szCs w:val="24"/>
        </w:rPr>
        <w:endnoteRef/>
      </w:r>
      <w:r w:rsidRPr="001A658C">
        <w:rPr>
          <w:rFonts w:ascii="Georgia" w:hAnsi="Georgia"/>
          <w:sz w:val="24"/>
          <w:szCs w:val="24"/>
        </w:rPr>
        <w:t xml:space="preserve">  Interestingly, at the time of this writing (late June, 2012), at Intrade.com Obama’s chances for re-election</w:t>
      </w:r>
      <w:r>
        <w:rPr>
          <w:rFonts w:ascii="Georgia" w:hAnsi="Georgia"/>
          <w:sz w:val="24"/>
          <w:szCs w:val="24"/>
        </w:rPr>
        <w:t xml:space="preserve"> are put at less than 55</w:t>
      </w:r>
      <w:proofErr w:type="gramStart"/>
      <w:r>
        <w:rPr>
          <w:rFonts w:ascii="Georgia" w:hAnsi="Georgia"/>
          <w:sz w:val="24"/>
          <w:szCs w:val="24"/>
        </w:rPr>
        <w:t>% .</w:t>
      </w:r>
      <w:proofErr w:type="gramEnd"/>
      <w:r>
        <w:rPr>
          <w:rFonts w:ascii="Georgia" w:hAnsi="Georgia"/>
          <w:sz w:val="24"/>
          <w:szCs w:val="24"/>
        </w:rPr>
        <w:t xml:space="preserve"> </w:t>
      </w:r>
      <w:r w:rsidRPr="00933340">
        <w:rPr>
          <w:rFonts w:ascii="Georgia" w:hAnsi="Georgia"/>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hruti">
    <w:panose1 w:val="00000000000000000000"/>
    <w:charset w:val="01"/>
    <w:family w:val="roman"/>
    <w:notTrueType/>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DE" w:rsidRDefault="003013DE" w:rsidP="007257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013DE" w:rsidRDefault="003013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DE" w:rsidRDefault="003013DE" w:rsidP="007257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0173">
      <w:rPr>
        <w:rStyle w:val="PageNumber"/>
        <w:noProof/>
      </w:rPr>
      <w:t>9</w:t>
    </w:r>
    <w:r>
      <w:rPr>
        <w:rStyle w:val="PageNumber"/>
      </w:rPr>
      <w:fldChar w:fldCharType="end"/>
    </w:r>
  </w:p>
  <w:p w:rsidR="003013DE" w:rsidRDefault="003013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31E" w:rsidRDefault="00A8231E">
      <w:r>
        <w:separator/>
      </w:r>
    </w:p>
  </w:footnote>
  <w:footnote w:type="continuationSeparator" w:id="0">
    <w:p w:rsidR="00A8231E" w:rsidRDefault="00A823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94B3C"/>
    <w:multiLevelType w:val="hybridMultilevel"/>
    <w:tmpl w:val="F0360770"/>
    <w:lvl w:ilvl="0" w:tplc="042C61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60"/>
    <w:rsid w:val="00002F11"/>
    <w:rsid w:val="00005EA8"/>
    <w:rsid w:val="00006CFB"/>
    <w:rsid w:val="00012E13"/>
    <w:rsid w:val="000179B7"/>
    <w:rsid w:val="00020B9F"/>
    <w:rsid w:val="00025096"/>
    <w:rsid w:val="000442BE"/>
    <w:rsid w:val="00046E43"/>
    <w:rsid w:val="0004747F"/>
    <w:rsid w:val="000509E6"/>
    <w:rsid w:val="000516E8"/>
    <w:rsid w:val="00052F70"/>
    <w:rsid w:val="000552F9"/>
    <w:rsid w:val="00093BF9"/>
    <w:rsid w:val="000958B8"/>
    <w:rsid w:val="000B41E4"/>
    <w:rsid w:val="000B5005"/>
    <w:rsid w:val="000B6270"/>
    <w:rsid w:val="000C02AE"/>
    <w:rsid w:val="000C2BB1"/>
    <w:rsid w:val="000D66FA"/>
    <w:rsid w:val="000E2C6C"/>
    <w:rsid w:val="000E52F2"/>
    <w:rsid w:val="000E6AAF"/>
    <w:rsid w:val="000E71A4"/>
    <w:rsid w:val="00110067"/>
    <w:rsid w:val="0011021C"/>
    <w:rsid w:val="0011051D"/>
    <w:rsid w:val="001117DF"/>
    <w:rsid w:val="00114E20"/>
    <w:rsid w:val="00116D5C"/>
    <w:rsid w:val="00136A44"/>
    <w:rsid w:val="00137725"/>
    <w:rsid w:val="00143B90"/>
    <w:rsid w:val="001467D7"/>
    <w:rsid w:val="00160541"/>
    <w:rsid w:val="001A04D7"/>
    <w:rsid w:val="001A658C"/>
    <w:rsid w:val="001B1F38"/>
    <w:rsid w:val="001B251E"/>
    <w:rsid w:val="001C4C91"/>
    <w:rsid w:val="001D1A7D"/>
    <w:rsid w:val="001D5E75"/>
    <w:rsid w:val="001E4527"/>
    <w:rsid w:val="001E4BB5"/>
    <w:rsid w:val="001E57ED"/>
    <w:rsid w:val="001E7F2F"/>
    <w:rsid w:val="001F1A1D"/>
    <w:rsid w:val="002009C6"/>
    <w:rsid w:val="00200BA2"/>
    <w:rsid w:val="00210C0E"/>
    <w:rsid w:val="00226180"/>
    <w:rsid w:val="00232C4A"/>
    <w:rsid w:val="00236801"/>
    <w:rsid w:val="00241779"/>
    <w:rsid w:val="0024320D"/>
    <w:rsid w:val="00252C1F"/>
    <w:rsid w:val="00266F4B"/>
    <w:rsid w:val="00270173"/>
    <w:rsid w:val="00270F02"/>
    <w:rsid w:val="00272884"/>
    <w:rsid w:val="00275832"/>
    <w:rsid w:val="00280D30"/>
    <w:rsid w:val="002960AE"/>
    <w:rsid w:val="002A2B44"/>
    <w:rsid w:val="002B2122"/>
    <w:rsid w:val="002C00D6"/>
    <w:rsid w:val="002C042F"/>
    <w:rsid w:val="002C4ACF"/>
    <w:rsid w:val="002C4C7D"/>
    <w:rsid w:val="002E698B"/>
    <w:rsid w:val="00300763"/>
    <w:rsid w:val="003013DE"/>
    <w:rsid w:val="0030534C"/>
    <w:rsid w:val="003116F0"/>
    <w:rsid w:val="00314E26"/>
    <w:rsid w:val="00317A3D"/>
    <w:rsid w:val="00321D35"/>
    <w:rsid w:val="0034035B"/>
    <w:rsid w:val="003474EF"/>
    <w:rsid w:val="003607D6"/>
    <w:rsid w:val="00375EE9"/>
    <w:rsid w:val="003764CA"/>
    <w:rsid w:val="003841F6"/>
    <w:rsid w:val="003921C5"/>
    <w:rsid w:val="003A1946"/>
    <w:rsid w:val="003B0176"/>
    <w:rsid w:val="003B2E85"/>
    <w:rsid w:val="003B3FA0"/>
    <w:rsid w:val="003B4BA2"/>
    <w:rsid w:val="003B5ACF"/>
    <w:rsid w:val="003C3B8D"/>
    <w:rsid w:val="003D4271"/>
    <w:rsid w:val="003D5AF6"/>
    <w:rsid w:val="003D76F5"/>
    <w:rsid w:val="003E5808"/>
    <w:rsid w:val="003E6E6A"/>
    <w:rsid w:val="003F586E"/>
    <w:rsid w:val="00406EAC"/>
    <w:rsid w:val="00412C48"/>
    <w:rsid w:val="004248D7"/>
    <w:rsid w:val="004263B3"/>
    <w:rsid w:val="00437F96"/>
    <w:rsid w:val="00443794"/>
    <w:rsid w:val="004473AE"/>
    <w:rsid w:val="004505FF"/>
    <w:rsid w:val="004528CF"/>
    <w:rsid w:val="0045416A"/>
    <w:rsid w:val="0046158B"/>
    <w:rsid w:val="00472D63"/>
    <w:rsid w:val="004905EA"/>
    <w:rsid w:val="00491874"/>
    <w:rsid w:val="00495C43"/>
    <w:rsid w:val="004A3DD8"/>
    <w:rsid w:val="004B1F52"/>
    <w:rsid w:val="004C3938"/>
    <w:rsid w:val="004D48AE"/>
    <w:rsid w:val="004E18AF"/>
    <w:rsid w:val="004F103F"/>
    <w:rsid w:val="005023FA"/>
    <w:rsid w:val="0050612E"/>
    <w:rsid w:val="00523399"/>
    <w:rsid w:val="005251BE"/>
    <w:rsid w:val="00540B3D"/>
    <w:rsid w:val="00541A87"/>
    <w:rsid w:val="00546E8E"/>
    <w:rsid w:val="0055528B"/>
    <w:rsid w:val="0055555F"/>
    <w:rsid w:val="00555CFC"/>
    <w:rsid w:val="005629E0"/>
    <w:rsid w:val="00564680"/>
    <w:rsid w:val="005676DF"/>
    <w:rsid w:val="00581F33"/>
    <w:rsid w:val="00586823"/>
    <w:rsid w:val="00594761"/>
    <w:rsid w:val="00596D0D"/>
    <w:rsid w:val="0059788B"/>
    <w:rsid w:val="005A3ACD"/>
    <w:rsid w:val="005A3F60"/>
    <w:rsid w:val="005A6022"/>
    <w:rsid w:val="005A7149"/>
    <w:rsid w:val="005A751B"/>
    <w:rsid w:val="005B4E5F"/>
    <w:rsid w:val="005B6C0C"/>
    <w:rsid w:val="005C37AB"/>
    <w:rsid w:val="005D2659"/>
    <w:rsid w:val="005D3551"/>
    <w:rsid w:val="005D3E4B"/>
    <w:rsid w:val="005D64C1"/>
    <w:rsid w:val="005E1A7C"/>
    <w:rsid w:val="005E4E4C"/>
    <w:rsid w:val="005F51FA"/>
    <w:rsid w:val="00613D8B"/>
    <w:rsid w:val="0062087B"/>
    <w:rsid w:val="0062281C"/>
    <w:rsid w:val="006308D0"/>
    <w:rsid w:val="006310A5"/>
    <w:rsid w:val="00636EDA"/>
    <w:rsid w:val="00643AC3"/>
    <w:rsid w:val="00646AE5"/>
    <w:rsid w:val="00650F3B"/>
    <w:rsid w:val="0065568A"/>
    <w:rsid w:val="00673FEE"/>
    <w:rsid w:val="00683411"/>
    <w:rsid w:val="00684EC7"/>
    <w:rsid w:val="00686C6C"/>
    <w:rsid w:val="00694246"/>
    <w:rsid w:val="00694D8D"/>
    <w:rsid w:val="006B213C"/>
    <w:rsid w:val="006B6BB4"/>
    <w:rsid w:val="006C7D6D"/>
    <w:rsid w:val="006D2949"/>
    <w:rsid w:val="006E3250"/>
    <w:rsid w:val="0071177B"/>
    <w:rsid w:val="00715328"/>
    <w:rsid w:val="00715FFB"/>
    <w:rsid w:val="0072387C"/>
    <w:rsid w:val="007257EE"/>
    <w:rsid w:val="00727775"/>
    <w:rsid w:val="00731A62"/>
    <w:rsid w:val="00737DE5"/>
    <w:rsid w:val="007410BB"/>
    <w:rsid w:val="0074746C"/>
    <w:rsid w:val="00751F03"/>
    <w:rsid w:val="00753738"/>
    <w:rsid w:val="007551AE"/>
    <w:rsid w:val="00767B9D"/>
    <w:rsid w:val="00774FAF"/>
    <w:rsid w:val="00782E4D"/>
    <w:rsid w:val="0079350B"/>
    <w:rsid w:val="00795B7C"/>
    <w:rsid w:val="007966C5"/>
    <w:rsid w:val="007B284D"/>
    <w:rsid w:val="007B58C5"/>
    <w:rsid w:val="007D0269"/>
    <w:rsid w:val="007E1A21"/>
    <w:rsid w:val="007F64AF"/>
    <w:rsid w:val="007F7504"/>
    <w:rsid w:val="00810A74"/>
    <w:rsid w:val="0082246B"/>
    <w:rsid w:val="00831C06"/>
    <w:rsid w:val="0083218A"/>
    <w:rsid w:val="00834149"/>
    <w:rsid w:val="0083582F"/>
    <w:rsid w:val="008403DF"/>
    <w:rsid w:val="008475CA"/>
    <w:rsid w:val="00855418"/>
    <w:rsid w:val="0086050B"/>
    <w:rsid w:val="008743D0"/>
    <w:rsid w:val="008905AA"/>
    <w:rsid w:val="00895B9D"/>
    <w:rsid w:val="00896131"/>
    <w:rsid w:val="008B1C50"/>
    <w:rsid w:val="008D723D"/>
    <w:rsid w:val="008E22C6"/>
    <w:rsid w:val="008E2A73"/>
    <w:rsid w:val="008F44E9"/>
    <w:rsid w:val="008F7E7F"/>
    <w:rsid w:val="00902388"/>
    <w:rsid w:val="009148E7"/>
    <w:rsid w:val="009213D6"/>
    <w:rsid w:val="00925A45"/>
    <w:rsid w:val="009276F1"/>
    <w:rsid w:val="00932E39"/>
    <w:rsid w:val="009330B7"/>
    <w:rsid w:val="00933340"/>
    <w:rsid w:val="0093544A"/>
    <w:rsid w:val="009409F2"/>
    <w:rsid w:val="00945E36"/>
    <w:rsid w:val="00961289"/>
    <w:rsid w:val="00975AC7"/>
    <w:rsid w:val="009A2FE0"/>
    <w:rsid w:val="009A6BB6"/>
    <w:rsid w:val="009B41F2"/>
    <w:rsid w:val="009B7B21"/>
    <w:rsid w:val="009C1659"/>
    <w:rsid w:val="009C441C"/>
    <w:rsid w:val="009D035D"/>
    <w:rsid w:val="009D3410"/>
    <w:rsid w:val="009D6AF3"/>
    <w:rsid w:val="00A14E6A"/>
    <w:rsid w:val="00A23D96"/>
    <w:rsid w:val="00A249D5"/>
    <w:rsid w:val="00A274DC"/>
    <w:rsid w:val="00A3442C"/>
    <w:rsid w:val="00A371E9"/>
    <w:rsid w:val="00A42F1B"/>
    <w:rsid w:val="00A4313D"/>
    <w:rsid w:val="00A439A1"/>
    <w:rsid w:val="00A50AA9"/>
    <w:rsid w:val="00A546FE"/>
    <w:rsid w:val="00A62698"/>
    <w:rsid w:val="00A63E50"/>
    <w:rsid w:val="00A70317"/>
    <w:rsid w:val="00A729F6"/>
    <w:rsid w:val="00A74587"/>
    <w:rsid w:val="00A76B82"/>
    <w:rsid w:val="00A76F9C"/>
    <w:rsid w:val="00A8231E"/>
    <w:rsid w:val="00A84F87"/>
    <w:rsid w:val="00A8711D"/>
    <w:rsid w:val="00A91A88"/>
    <w:rsid w:val="00A920BE"/>
    <w:rsid w:val="00A925D9"/>
    <w:rsid w:val="00A9264F"/>
    <w:rsid w:val="00A9795B"/>
    <w:rsid w:val="00AA18FE"/>
    <w:rsid w:val="00AA256A"/>
    <w:rsid w:val="00AA47DF"/>
    <w:rsid w:val="00AA4C3C"/>
    <w:rsid w:val="00AB19AC"/>
    <w:rsid w:val="00AB47C7"/>
    <w:rsid w:val="00AC00BD"/>
    <w:rsid w:val="00AC2034"/>
    <w:rsid w:val="00AC6A84"/>
    <w:rsid w:val="00AC6B7B"/>
    <w:rsid w:val="00AC7FA1"/>
    <w:rsid w:val="00AD4412"/>
    <w:rsid w:val="00AE2ADF"/>
    <w:rsid w:val="00AE6AEF"/>
    <w:rsid w:val="00B01644"/>
    <w:rsid w:val="00B038BF"/>
    <w:rsid w:val="00B0436F"/>
    <w:rsid w:val="00B103DF"/>
    <w:rsid w:val="00B15ED0"/>
    <w:rsid w:val="00B22E02"/>
    <w:rsid w:val="00B27034"/>
    <w:rsid w:val="00B35357"/>
    <w:rsid w:val="00B35A1F"/>
    <w:rsid w:val="00B37C71"/>
    <w:rsid w:val="00B65DBB"/>
    <w:rsid w:val="00B71D34"/>
    <w:rsid w:val="00B85B2C"/>
    <w:rsid w:val="00B94B64"/>
    <w:rsid w:val="00BB3696"/>
    <w:rsid w:val="00BB54D7"/>
    <w:rsid w:val="00BB569A"/>
    <w:rsid w:val="00BC637A"/>
    <w:rsid w:val="00BC64A5"/>
    <w:rsid w:val="00BD6C7B"/>
    <w:rsid w:val="00BE2AB2"/>
    <w:rsid w:val="00BF3D07"/>
    <w:rsid w:val="00BF5CB4"/>
    <w:rsid w:val="00C00790"/>
    <w:rsid w:val="00C019BF"/>
    <w:rsid w:val="00C07805"/>
    <w:rsid w:val="00C10433"/>
    <w:rsid w:val="00C207AD"/>
    <w:rsid w:val="00C2304F"/>
    <w:rsid w:val="00C32B9D"/>
    <w:rsid w:val="00C34270"/>
    <w:rsid w:val="00C35F58"/>
    <w:rsid w:val="00C452E5"/>
    <w:rsid w:val="00C50AB5"/>
    <w:rsid w:val="00C52DEB"/>
    <w:rsid w:val="00C537DF"/>
    <w:rsid w:val="00C62E63"/>
    <w:rsid w:val="00C735C3"/>
    <w:rsid w:val="00C80C56"/>
    <w:rsid w:val="00C80FAC"/>
    <w:rsid w:val="00C90631"/>
    <w:rsid w:val="00CA57EC"/>
    <w:rsid w:val="00CB54D5"/>
    <w:rsid w:val="00CC5444"/>
    <w:rsid w:val="00CD06C3"/>
    <w:rsid w:val="00CD0F4E"/>
    <w:rsid w:val="00CE1175"/>
    <w:rsid w:val="00CE6054"/>
    <w:rsid w:val="00CF2111"/>
    <w:rsid w:val="00D0386F"/>
    <w:rsid w:val="00D0651D"/>
    <w:rsid w:val="00D134E0"/>
    <w:rsid w:val="00D14B87"/>
    <w:rsid w:val="00D17A1D"/>
    <w:rsid w:val="00D272C2"/>
    <w:rsid w:val="00D343C8"/>
    <w:rsid w:val="00D35466"/>
    <w:rsid w:val="00D35783"/>
    <w:rsid w:val="00D4257F"/>
    <w:rsid w:val="00D62E76"/>
    <w:rsid w:val="00D62EF1"/>
    <w:rsid w:val="00D662CF"/>
    <w:rsid w:val="00D74810"/>
    <w:rsid w:val="00D7563E"/>
    <w:rsid w:val="00D86A37"/>
    <w:rsid w:val="00D90A81"/>
    <w:rsid w:val="00D91274"/>
    <w:rsid w:val="00DA18E7"/>
    <w:rsid w:val="00DA6905"/>
    <w:rsid w:val="00DB11CD"/>
    <w:rsid w:val="00DC24A8"/>
    <w:rsid w:val="00DD646E"/>
    <w:rsid w:val="00DE4999"/>
    <w:rsid w:val="00DE4AAD"/>
    <w:rsid w:val="00DF19E4"/>
    <w:rsid w:val="00E01675"/>
    <w:rsid w:val="00E02D64"/>
    <w:rsid w:val="00E13D23"/>
    <w:rsid w:val="00E14962"/>
    <w:rsid w:val="00E15367"/>
    <w:rsid w:val="00E15CA6"/>
    <w:rsid w:val="00E23688"/>
    <w:rsid w:val="00E25FF5"/>
    <w:rsid w:val="00E26FF8"/>
    <w:rsid w:val="00E32C69"/>
    <w:rsid w:val="00E35203"/>
    <w:rsid w:val="00E37FD9"/>
    <w:rsid w:val="00E51A5B"/>
    <w:rsid w:val="00E629C3"/>
    <w:rsid w:val="00E6680C"/>
    <w:rsid w:val="00E70724"/>
    <w:rsid w:val="00E74B3F"/>
    <w:rsid w:val="00E77E6F"/>
    <w:rsid w:val="00E972CB"/>
    <w:rsid w:val="00EA4579"/>
    <w:rsid w:val="00EB16F2"/>
    <w:rsid w:val="00EB1ED2"/>
    <w:rsid w:val="00EB7EA4"/>
    <w:rsid w:val="00EC73A5"/>
    <w:rsid w:val="00ED10D1"/>
    <w:rsid w:val="00ED5147"/>
    <w:rsid w:val="00EE593E"/>
    <w:rsid w:val="00EE5F79"/>
    <w:rsid w:val="00F01094"/>
    <w:rsid w:val="00F02DEF"/>
    <w:rsid w:val="00F12CA6"/>
    <w:rsid w:val="00F17DA4"/>
    <w:rsid w:val="00F251BE"/>
    <w:rsid w:val="00F36DE0"/>
    <w:rsid w:val="00F37677"/>
    <w:rsid w:val="00F474D8"/>
    <w:rsid w:val="00F50F46"/>
    <w:rsid w:val="00F54A51"/>
    <w:rsid w:val="00F614B5"/>
    <w:rsid w:val="00F62277"/>
    <w:rsid w:val="00F70C42"/>
    <w:rsid w:val="00F81CCF"/>
    <w:rsid w:val="00F8703B"/>
    <w:rsid w:val="00F97706"/>
    <w:rsid w:val="00FC5C2D"/>
    <w:rsid w:val="00FD3424"/>
    <w:rsid w:val="00FD6D00"/>
    <w:rsid w:val="00FF071E"/>
    <w:rsid w:val="00FF5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F60"/>
    <w:pPr>
      <w:widowControl w:val="0"/>
      <w:autoSpaceDE w:val="0"/>
      <w:autoSpaceDN w:val="0"/>
      <w:adjustRightInd w:val="0"/>
    </w:pPr>
    <w:rPr>
      <w:sz w:val="24"/>
      <w:szCs w:val="24"/>
    </w:rPr>
  </w:style>
  <w:style w:type="paragraph" w:styleId="Heading1">
    <w:name w:val="heading 1"/>
    <w:basedOn w:val="Normal"/>
    <w:next w:val="Normal"/>
    <w:qFormat/>
    <w:rsid w:val="005A3F60"/>
    <w:pPr>
      <w:keepNext/>
      <w:widowControl/>
      <w:spacing w:line="480" w:lineRule="auto"/>
      <w:jc w:val="center"/>
      <w:outlineLvl w:val="0"/>
    </w:pPr>
    <w:rPr>
      <w:b/>
    </w:rPr>
  </w:style>
  <w:style w:type="paragraph" w:styleId="Heading2">
    <w:name w:val="heading 2"/>
    <w:basedOn w:val="Normal"/>
    <w:next w:val="Normal"/>
    <w:qFormat/>
    <w:rsid w:val="005A3F60"/>
    <w:pPr>
      <w:keepNext/>
      <w:widowControl/>
      <w:spacing w:line="480" w:lineRule="auto"/>
      <w:ind w:firstLine="720"/>
      <w:jc w:val="center"/>
      <w:outlineLvl w:val="1"/>
    </w:pPr>
    <w:rPr>
      <w:b/>
    </w:rPr>
  </w:style>
  <w:style w:type="paragraph" w:styleId="Heading3">
    <w:name w:val="heading 3"/>
    <w:basedOn w:val="Normal"/>
    <w:next w:val="Normal"/>
    <w:qFormat/>
    <w:rsid w:val="005A3F60"/>
    <w:pPr>
      <w:keepNext/>
      <w:spacing w:before="240" w:after="60"/>
      <w:outlineLvl w:val="2"/>
    </w:pPr>
    <w:rPr>
      <w:rFonts w:ascii="Arial" w:hAnsi="Arial" w:cs="Arial"/>
      <w:b/>
      <w:bCs/>
      <w:sz w:val="26"/>
      <w:szCs w:val="26"/>
    </w:rPr>
  </w:style>
  <w:style w:type="paragraph" w:styleId="Heading4">
    <w:name w:val="heading 4"/>
    <w:basedOn w:val="Normal"/>
    <w:next w:val="Normal"/>
    <w:qFormat/>
    <w:rsid w:val="005A3F60"/>
    <w:pPr>
      <w:keepNext/>
      <w:spacing w:before="240" w:after="60"/>
      <w:outlineLvl w:val="3"/>
    </w:pPr>
    <w:rPr>
      <w:b/>
      <w:bCs/>
      <w:sz w:val="28"/>
      <w:szCs w:val="28"/>
    </w:rPr>
  </w:style>
  <w:style w:type="paragraph" w:styleId="Heading5">
    <w:name w:val="heading 5"/>
    <w:basedOn w:val="Normal"/>
    <w:next w:val="Normal"/>
    <w:qFormat/>
    <w:rsid w:val="005A3F60"/>
    <w:pPr>
      <w:spacing w:before="240" w:after="60"/>
      <w:outlineLvl w:val="4"/>
    </w:pPr>
    <w:rPr>
      <w:b/>
      <w:bCs/>
      <w:i/>
      <w:iCs/>
      <w:sz w:val="26"/>
      <w:szCs w:val="26"/>
    </w:rPr>
  </w:style>
  <w:style w:type="paragraph" w:styleId="Heading8">
    <w:name w:val="heading 8"/>
    <w:basedOn w:val="Normal"/>
    <w:next w:val="Normal"/>
    <w:qFormat/>
    <w:rsid w:val="00A729F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A3F60"/>
    <w:pPr>
      <w:tabs>
        <w:tab w:val="center" w:pos="4320"/>
        <w:tab w:val="right" w:pos="8640"/>
      </w:tabs>
    </w:pPr>
  </w:style>
  <w:style w:type="character" w:styleId="PageNumber">
    <w:name w:val="page number"/>
    <w:basedOn w:val="DefaultParagraphFont"/>
    <w:rsid w:val="005A3F60"/>
  </w:style>
  <w:style w:type="character" w:styleId="Hyperlink">
    <w:name w:val="Hyperlink"/>
    <w:basedOn w:val="DefaultParagraphFont"/>
    <w:rsid w:val="005A3F60"/>
    <w:rPr>
      <w:color w:val="0000FF"/>
      <w:u w:val="single"/>
    </w:rPr>
  </w:style>
  <w:style w:type="paragraph" w:styleId="BodyTextIndent">
    <w:name w:val="Body Text Indent"/>
    <w:basedOn w:val="Normal"/>
    <w:rsid w:val="005A3F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pPr>
  </w:style>
  <w:style w:type="paragraph" w:styleId="BodyTextIndent2">
    <w:name w:val="Body Text Indent 2"/>
    <w:basedOn w:val="Normal"/>
    <w:rsid w:val="005A3F60"/>
    <w:pPr>
      <w:spacing w:line="480" w:lineRule="auto"/>
      <w:ind w:firstLine="720"/>
    </w:pPr>
  </w:style>
  <w:style w:type="paragraph" w:styleId="EndnoteText">
    <w:name w:val="endnote text"/>
    <w:basedOn w:val="Normal"/>
    <w:semiHidden/>
    <w:rsid w:val="005A3F60"/>
    <w:rPr>
      <w:sz w:val="20"/>
      <w:szCs w:val="20"/>
    </w:rPr>
  </w:style>
  <w:style w:type="character" w:styleId="EndnoteReference">
    <w:name w:val="endnote reference"/>
    <w:basedOn w:val="DefaultParagraphFont"/>
    <w:semiHidden/>
    <w:rsid w:val="005A3F60"/>
    <w:rPr>
      <w:vertAlign w:val="superscript"/>
    </w:rPr>
  </w:style>
  <w:style w:type="paragraph" w:styleId="Header">
    <w:name w:val="header"/>
    <w:basedOn w:val="Normal"/>
    <w:rsid w:val="005A3F60"/>
    <w:pPr>
      <w:tabs>
        <w:tab w:val="center" w:pos="4320"/>
        <w:tab w:val="right" w:pos="8640"/>
      </w:tabs>
    </w:pPr>
  </w:style>
  <w:style w:type="paragraph" w:customStyle="1" w:styleId="Style1">
    <w:name w:val="Style1"/>
    <w:basedOn w:val="Normal"/>
    <w:next w:val="Normal"/>
    <w:rsid w:val="005A3F60"/>
    <w:pPr>
      <w:widowControl/>
      <w:autoSpaceDE/>
      <w:autoSpaceDN/>
      <w:adjustRightInd/>
    </w:pPr>
    <w:rPr>
      <w:kern w:val="36"/>
    </w:rPr>
  </w:style>
  <w:style w:type="table" w:styleId="TableGrid">
    <w:name w:val="Table Grid"/>
    <w:basedOn w:val="TableNormal"/>
    <w:rsid w:val="005A3F60"/>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A3F60"/>
    <w:rPr>
      <w:rFonts w:ascii="Tahoma" w:hAnsi="Tahoma" w:cs="Tahoma"/>
      <w:sz w:val="16"/>
      <w:szCs w:val="16"/>
    </w:rPr>
  </w:style>
  <w:style w:type="paragraph" w:styleId="DocumentMap">
    <w:name w:val="Document Map"/>
    <w:basedOn w:val="Normal"/>
    <w:semiHidden/>
    <w:rsid w:val="0079350B"/>
    <w:pPr>
      <w:shd w:val="clear" w:color="auto" w:fill="000080"/>
    </w:pPr>
    <w:rPr>
      <w:rFonts w:ascii="Tahoma" w:hAnsi="Tahoma" w:cs="Tahoma"/>
      <w:sz w:val="20"/>
      <w:szCs w:val="20"/>
    </w:rPr>
  </w:style>
  <w:style w:type="character" w:styleId="Emphasis">
    <w:name w:val="Emphasis"/>
    <w:basedOn w:val="DefaultParagraphFont"/>
    <w:qFormat/>
    <w:rsid w:val="00581F33"/>
    <w:rPr>
      <w:i/>
      <w:iCs/>
    </w:rPr>
  </w:style>
  <w:style w:type="character" w:customStyle="1" w:styleId="definition">
    <w:name w:val="definition"/>
    <w:basedOn w:val="DefaultParagraphFont"/>
    <w:rsid w:val="00DA18E7"/>
  </w:style>
  <w:style w:type="paragraph" w:styleId="Title">
    <w:name w:val="Title"/>
    <w:basedOn w:val="Normal"/>
    <w:qFormat/>
    <w:rsid w:val="00C34270"/>
    <w:pPr>
      <w:widowControl/>
      <w:spacing w:line="480" w:lineRule="auto"/>
      <w:jc w:val="center"/>
    </w:pPr>
  </w:style>
  <w:style w:type="character" w:styleId="CommentReference">
    <w:name w:val="annotation reference"/>
    <w:basedOn w:val="DefaultParagraphFont"/>
    <w:rsid w:val="00137725"/>
    <w:rPr>
      <w:sz w:val="16"/>
      <w:szCs w:val="16"/>
    </w:rPr>
  </w:style>
  <w:style w:type="paragraph" w:styleId="CommentText">
    <w:name w:val="annotation text"/>
    <w:basedOn w:val="Normal"/>
    <w:link w:val="CommentTextChar"/>
    <w:rsid w:val="00137725"/>
    <w:rPr>
      <w:sz w:val="20"/>
      <w:szCs w:val="20"/>
    </w:rPr>
  </w:style>
  <w:style w:type="character" w:customStyle="1" w:styleId="CommentTextChar">
    <w:name w:val="Comment Text Char"/>
    <w:basedOn w:val="DefaultParagraphFont"/>
    <w:link w:val="CommentText"/>
    <w:rsid w:val="00137725"/>
  </w:style>
  <w:style w:type="paragraph" w:styleId="CommentSubject">
    <w:name w:val="annotation subject"/>
    <w:basedOn w:val="CommentText"/>
    <w:next w:val="CommentText"/>
    <w:link w:val="CommentSubjectChar"/>
    <w:rsid w:val="00137725"/>
    <w:rPr>
      <w:b/>
      <w:bCs/>
    </w:rPr>
  </w:style>
  <w:style w:type="character" w:customStyle="1" w:styleId="CommentSubjectChar">
    <w:name w:val="Comment Subject Char"/>
    <w:basedOn w:val="CommentTextChar"/>
    <w:link w:val="CommentSubject"/>
    <w:rsid w:val="00137725"/>
    <w:rPr>
      <w:b/>
      <w:bCs/>
    </w:rPr>
  </w:style>
  <w:style w:type="paragraph" w:styleId="FootnoteText">
    <w:name w:val="footnote text"/>
    <w:basedOn w:val="Normal"/>
    <w:link w:val="FootnoteTextChar"/>
    <w:rsid w:val="00A14E6A"/>
    <w:rPr>
      <w:sz w:val="20"/>
      <w:szCs w:val="20"/>
    </w:rPr>
  </w:style>
  <w:style w:type="character" w:customStyle="1" w:styleId="FootnoteTextChar">
    <w:name w:val="Footnote Text Char"/>
    <w:basedOn w:val="DefaultParagraphFont"/>
    <w:link w:val="FootnoteText"/>
    <w:rsid w:val="00A14E6A"/>
  </w:style>
  <w:style w:type="character" w:styleId="FootnoteReference">
    <w:name w:val="footnote reference"/>
    <w:basedOn w:val="DefaultParagraphFont"/>
    <w:rsid w:val="00A14E6A"/>
    <w:rPr>
      <w:vertAlign w:val="superscript"/>
    </w:rPr>
  </w:style>
  <w:style w:type="paragraph" w:styleId="NormalWeb">
    <w:name w:val="Normal (Web)"/>
    <w:basedOn w:val="Normal"/>
    <w:uiPriority w:val="99"/>
    <w:unhideWhenUsed/>
    <w:rsid w:val="003A1946"/>
    <w:pPr>
      <w:widowControl/>
      <w:autoSpaceDE/>
      <w:autoSpaceDN/>
      <w:adjustRightInd/>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F60"/>
    <w:pPr>
      <w:widowControl w:val="0"/>
      <w:autoSpaceDE w:val="0"/>
      <w:autoSpaceDN w:val="0"/>
      <w:adjustRightInd w:val="0"/>
    </w:pPr>
    <w:rPr>
      <w:sz w:val="24"/>
      <w:szCs w:val="24"/>
    </w:rPr>
  </w:style>
  <w:style w:type="paragraph" w:styleId="Heading1">
    <w:name w:val="heading 1"/>
    <w:basedOn w:val="Normal"/>
    <w:next w:val="Normal"/>
    <w:qFormat/>
    <w:rsid w:val="005A3F60"/>
    <w:pPr>
      <w:keepNext/>
      <w:widowControl/>
      <w:spacing w:line="480" w:lineRule="auto"/>
      <w:jc w:val="center"/>
      <w:outlineLvl w:val="0"/>
    </w:pPr>
    <w:rPr>
      <w:b/>
    </w:rPr>
  </w:style>
  <w:style w:type="paragraph" w:styleId="Heading2">
    <w:name w:val="heading 2"/>
    <w:basedOn w:val="Normal"/>
    <w:next w:val="Normal"/>
    <w:qFormat/>
    <w:rsid w:val="005A3F60"/>
    <w:pPr>
      <w:keepNext/>
      <w:widowControl/>
      <w:spacing w:line="480" w:lineRule="auto"/>
      <w:ind w:firstLine="720"/>
      <w:jc w:val="center"/>
      <w:outlineLvl w:val="1"/>
    </w:pPr>
    <w:rPr>
      <w:b/>
    </w:rPr>
  </w:style>
  <w:style w:type="paragraph" w:styleId="Heading3">
    <w:name w:val="heading 3"/>
    <w:basedOn w:val="Normal"/>
    <w:next w:val="Normal"/>
    <w:qFormat/>
    <w:rsid w:val="005A3F60"/>
    <w:pPr>
      <w:keepNext/>
      <w:spacing w:before="240" w:after="60"/>
      <w:outlineLvl w:val="2"/>
    </w:pPr>
    <w:rPr>
      <w:rFonts w:ascii="Arial" w:hAnsi="Arial" w:cs="Arial"/>
      <w:b/>
      <w:bCs/>
      <w:sz w:val="26"/>
      <w:szCs w:val="26"/>
    </w:rPr>
  </w:style>
  <w:style w:type="paragraph" w:styleId="Heading4">
    <w:name w:val="heading 4"/>
    <w:basedOn w:val="Normal"/>
    <w:next w:val="Normal"/>
    <w:qFormat/>
    <w:rsid w:val="005A3F60"/>
    <w:pPr>
      <w:keepNext/>
      <w:spacing w:before="240" w:after="60"/>
      <w:outlineLvl w:val="3"/>
    </w:pPr>
    <w:rPr>
      <w:b/>
      <w:bCs/>
      <w:sz w:val="28"/>
      <w:szCs w:val="28"/>
    </w:rPr>
  </w:style>
  <w:style w:type="paragraph" w:styleId="Heading5">
    <w:name w:val="heading 5"/>
    <w:basedOn w:val="Normal"/>
    <w:next w:val="Normal"/>
    <w:qFormat/>
    <w:rsid w:val="005A3F60"/>
    <w:pPr>
      <w:spacing w:before="240" w:after="60"/>
      <w:outlineLvl w:val="4"/>
    </w:pPr>
    <w:rPr>
      <w:b/>
      <w:bCs/>
      <w:i/>
      <w:iCs/>
      <w:sz w:val="26"/>
      <w:szCs w:val="26"/>
    </w:rPr>
  </w:style>
  <w:style w:type="paragraph" w:styleId="Heading8">
    <w:name w:val="heading 8"/>
    <w:basedOn w:val="Normal"/>
    <w:next w:val="Normal"/>
    <w:qFormat/>
    <w:rsid w:val="00A729F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A3F60"/>
    <w:pPr>
      <w:tabs>
        <w:tab w:val="center" w:pos="4320"/>
        <w:tab w:val="right" w:pos="8640"/>
      </w:tabs>
    </w:pPr>
  </w:style>
  <w:style w:type="character" w:styleId="PageNumber">
    <w:name w:val="page number"/>
    <w:basedOn w:val="DefaultParagraphFont"/>
    <w:rsid w:val="005A3F60"/>
  </w:style>
  <w:style w:type="character" w:styleId="Hyperlink">
    <w:name w:val="Hyperlink"/>
    <w:basedOn w:val="DefaultParagraphFont"/>
    <w:rsid w:val="005A3F60"/>
    <w:rPr>
      <w:color w:val="0000FF"/>
      <w:u w:val="single"/>
    </w:rPr>
  </w:style>
  <w:style w:type="paragraph" w:styleId="BodyTextIndent">
    <w:name w:val="Body Text Indent"/>
    <w:basedOn w:val="Normal"/>
    <w:rsid w:val="005A3F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pPr>
  </w:style>
  <w:style w:type="paragraph" w:styleId="BodyTextIndent2">
    <w:name w:val="Body Text Indent 2"/>
    <w:basedOn w:val="Normal"/>
    <w:rsid w:val="005A3F60"/>
    <w:pPr>
      <w:spacing w:line="480" w:lineRule="auto"/>
      <w:ind w:firstLine="720"/>
    </w:pPr>
  </w:style>
  <w:style w:type="paragraph" w:styleId="EndnoteText">
    <w:name w:val="endnote text"/>
    <w:basedOn w:val="Normal"/>
    <w:semiHidden/>
    <w:rsid w:val="005A3F60"/>
    <w:rPr>
      <w:sz w:val="20"/>
      <w:szCs w:val="20"/>
    </w:rPr>
  </w:style>
  <w:style w:type="character" w:styleId="EndnoteReference">
    <w:name w:val="endnote reference"/>
    <w:basedOn w:val="DefaultParagraphFont"/>
    <w:semiHidden/>
    <w:rsid w:val="005A3F60"/>
    <w:rPr>
      <w:vertAlign w:val="superscript"/>
    </w:rPr>
  </w:style>
  <w:style w:type="paragraph" w:styleId="Header">
    <w:name w:val="header"/>
    <w:basedOn w:val="Normal"/>
    <w:rsid w:val="005A3F60"/>
    <w:pPr>
      <w:tabs>
        <w:tab w:val="center" w:pos="4320"/>
        <w:tab w:val="right" w:pos="8640"/>
      </w:tabs>
    </w:pPr>
  </w:style>
  <w:style w:type="paragraph" w:customStyle="1" w:styleId="Style1">
    <w:name w:val="Style1"/>
    <w:basedOn w:val="Normal"/>
    <w:next w:val="Normal"/>
    <w:rsid w:val="005A3F60"/>
    <w:pPr>
      <w:widowControl/>
      <w:autoSpaceDE/>
      <w:autoSpaceDN/>
      <w:adjustRightInd/>
    </w:pPr>
    <w:rPr>
      <w:kern w:val="36"/>
    </w:rPr>
  </w:style>
  <w:style w:type="table" w:styleId="TableGrid">
    <w:name w:val="Table Grid"/>
    <w:basedOn w:val="TableNormal"/>
    <w:rsid w:val="005A3F60"/>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A3F60"/>
    <w:rPr>
      <w:rFonts w:ascii="Tahoma" w:hAnsi="Tahoma" w:cs="Tahoma"/>
      <w:sz w:val="16"/>
      <w:szCs w:val="16"/>
    </w:rPr>
  </w:style>
  <w:style w:type="paragraph" w:styleId="DocumentMap">
    <w:name w:val="Document Map"/>
    <w:basedOn w:val="Normal"/>
    <w:semiHidden/>
    <w:rsid w:val="0079350B"/>
    <w:pPr>
      <w:shd w:val="clear" w:color="auto" w:fill="000080"/>
    </w:pPr>
    <w:rPr>
      <w:rFonts w:ascii="Tahoma" w:hAnsi="Tahoma" w:cs="Tahoma"/>
      <w:sz w:val="20"/>
      <w:szCs w:val="20"/>
    </w:rPr>
  </w:style>
  <w:style w:type="character" w:styleId="Emphasis">
    <w:name w:val="Emphasis"/>
    <w:basedOn w:val="DefaultParagraphFont"/>
    <w:qFormat/>
    <w:rsid w:val="00581F33"/>
    <w:rPr>
      <w:i/>
      <w:iCs/>
    </w:rPr>
  </w:style>
  <w:style w:type="character" w:customStyle="1" w:styleId="definition">
    <w:name w:val="definition"/>
    <w:basedOn w:val="DefaultParagraphFont"/>
    <w:rsid w:val="00DA18E7"/>
  </w:style>
  <w:style w:type="paragraph" w:styleId="Title">
    <w:name w:val="Title"/>
    <w:basedOn w:val="Normal"/>
    <w:qFormat/>
    <w:rsid w:val="00C34270"/>
    <w:pPr>
      <w:widowControl/>
      <w:spacing w:line="480" w:lineRule="auto"/>
      <w:jc w:val="center"/>
    </w:pPr>
  </w:style>
  <w:style w:type="character" w:styleId="CommentReference">
    <w:name w:val="annotation reference"/>
    <w:basedOn w:val="DefaultParagraphFont"/>
    <w:rsid w:val="00137725"/>
    <w:rPr>
      <w:sz w:val="16"/>
      <w:szCs w:val="16"/>
    </w:rPr>
  </w:style>
  <w:style w:type="paragraph" w:styleId="CommentText">
    <w:name w:val="annotation text"/>
    <w:basedOn w:val="Normal"/>
    <w:link w:val="CommentTextChar"/>
    <w:rsid w:val="00137725"/>
    <w:rPr>
      <w:sz w:val="20"/>
      <w:szCs w:val="20"/>
    </w:rPr>
  </w:style>
  <w:style w:type="character" w:customStyle="1" w:styleId="CommentTextChar">
    <w:name w:val="Comment Text Char"/>
    <w:basedOn w:val="DefaultParagraphFont"/>
    <w:link w:val="CommentText"/>
    <w:rsid w:val="00137725"/>
  </w:style>
  <w:style w:type="paragraph" w:styleId="CommentSubject">
    <w:name w:val="annotation subject"/>
    <w:basedOn w:val="CommentText"/>
    <w:next w:val="CommentText"/>
    <w:link w:val="CommentSubjectChar"/>
    <w:rsid w:val="00137725"/>
    <w:rPr>
      <w:b/>
      <w:bCs/>
    </w:rPr>
  </w:style>
  <w:style w:type="character" w:customStyle="1" w:styleId="CommentSubjectChar">
    <w:name w:val="Comment Subject Char"/>
    <w:basedOn w:val="CommentTextChar"/>
    <w:link w:val="CommentSubject"/>
    <w:rsid w:val="00137725"/>
    <w:rPr>
      <w:b/>
      <w:bCs/>
    </w:rPr>
  </w:style>
  <w:style w:type="paragraph" w:styleId="FootnoteText">
    <w:name w:val="footnote text"/>
    <w:basedOn w:val="Normal"/>
    <w:link w:val="FootnoteTextChar"/>
    <w:rsid w:val="00A14E6A"/>
    <w:rPr>
      <w:sz w:val="20"/>
      <w:szCs w:val="20"/>
    </w:rPr>
  </w:style>
  <w:style w:type="character" w:customStyle="1" w:styleId="FootnoteTextChar">
    <w:name w:val="Footnote Text Char"/>
    <w:basedOn w:val="DefaultParagraphFont"/>
    <w:link w:val="FootnoteText"/>
    <w:rsid w:val="00A14E6A"/>
  </w:style>
  <w:style w:type="character" w:styleId="FootnoteReference">
    <w:name w:val="footnote reference"/>
    <w:basedOn w:val="DefaultParagraphFont"/>
    <w:rsid w:val="00A14E6A"/>
    <w:rPr>
      <w:vertAlign w:val="superscript"/>
    </w:rPr>
  </w:style>
  <w:style w:type="paragraph" w:styleId="NormalWeb">
    <w:name w:val="Normal (Web)"/>
    <w:basedOn w:val="Normal"/>
    <w:uiPriority w:val="99"/>
    <w:unhideWhenUsed/>
    <w:rsid w:val="003A1946"/>
    <w:pPr>
      <w:widowControl/>
      <w:autoSpaceDE/>
      <w:autoSpaceDN/>
      <w:adjustRightIn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5860">
      <w:bodyDiv w:val="1"/>
      <w:marLeft w:val="0"/>
      <w:marRight w:val="0"/>
      <w:marTop w:val="0"/>
      <w:marBottom w:val="0"/>
      <w:divBdr>
        <w:top w:val="none" w:sz="0" w:space="0" w:color="auto"/>
        <w:left w:val="none" w:sz="0" w:space="0" w:color="auto"/>
        <w:bottom w:val="none" w:sz="0" w:space="0" w:color="auto"/>
        <w:right w:val="none" w:sz="0" w:space="0" w:color="auto"/>
      </w:divBdr>
    </w:div>
    <w:div w:id="29183093">
      <w:bodyDiv w:val="1"/>
      <w:marLeft w:val="0"/>
      <w:marRight w:val="0"/>
      <w:marTop w:val="0"/>
      <w:marBottom w:val="0"/>
      <w:divBdr>
        <w:top w:val="none" w:sz="0" w:space="0" w:color="auto"/>
        <w:left w:val="none" w:sz="0" w:space="0" w:color="auto"/>
        <w:bottom w:val="none" w:sz="0" w:space="0" w:color="auto"/>
        <w:right w:val="none" w:sz="0" w:space="0" w:color="auto"/>
      </w:divBdr>
    </w:div>
    <w:div w:id="179708031">
      <w:bodyDiv w:val="1"/>
      <w:marLeft w:val="0"/>
      <w:marRight w:val="0"/>
      <w:marTop w:val="0"/>
      <w:marBottom w:val="0"/>
      <w:divBdr>
        <w:top w:val="none" w:sz="0" w:space="0" w:color="auto"/>
        <w:left w:val="none" w:sz="0" w:space="0" w:color="auto"/>
        <w:bottom w:val="none" w:sz="0" w:space="0" w:color="auto"/>
        <w:right w:val="none" w:sz="0" w:space="0" w:color="auto"/>
      </w:divBdr>
    </w:div>
    <w:div w:id="181088398">
      <w:bodyDiv w:val="1"/>
      <w:marLeft w:val="0"/>
      <w:marRight w:val="0"/>
      <w:marTop w:val="0"/>
      <w:marBottom w:val="0"/>
      <w:divBdr>
        <w:top w:val="none" w:sz="0" w:space="0" w:color="auto"/>
        <w:left w:val="none" w:sz="0" w:space="0" w:color="auto"/>
        <w:bottom w:val="none" w:sz="0" w:space="0" w:color="auto"/>
        <w:right w:val="none" w:sz="0" w:space="0" w:color="auto"/>
      </w:divBdr>
    </w:div>
    <w:div w:id="255555944">
      <w:bodyDiv w:val="1"/>
      <w:marLeft w:val="0"/>
      <w:marRight w:val="0"/>
      <w:marTop w:val="0"/>
      <w:marBottom w:val="0"/>
      <w:divBdr>
        <w:top w:val="none" w:sz="0" w:space="0" w:color="auto"/>
        <w:left w:val="none" w:sz="0" w:space="0" w:color="auto"/>
        <w:bottom w:val="none" w:sz="0" w:space="0" w:color="auto"/>
        <w:right w:val="none" w:sz="0" w:space="0" w:color="auto"/>
      </w:divBdr>
    </w:div>
    <w:div w:id="278613976">
      <w:bodyDiv w:val="1"/>
      <w:marLeft w:val="0"/>
      <w:marRight w:val="0"/>
      <w:marTop w:val="0"/>
      <w:marBottom w:val="0"/>
      <w:divBdr>
        <w:top w:val="none" w:sz="0" w:space="0" w:color="auto"/>
        <w:left w:val="none" w:sz="0" w:space="0" w:color="auto"/>
        <w:bottom w:val="none" w:sz="0" w:space="0" w:color="auto"/>
        <w:right w:val="none" w:sz="0" w:space="0" w:color="auto"/>
      </w:divBdr>
    </w:div>
    <w:div w:id="282468182">
      <w:bodyDiv w:val="1"/>
      <w:marLeft w:val="0"/>
      <w:marRight w:val="0"/>
      <w:marTop w:val="0"/>
      <w:marBottom w:val="0"/>
      <w:divBdr>
        <w:top w:val="none" w:sz="0" w:space="0" w:color="auto"/>
        <w:left w:val="none" w:sz="0" w:space="0" w:color="auto"/>
        <w:bottom w:val="none" w:sz="0" w:space="0" w:color="auto"/>
        <w:right w:val="none" w:sz="0" w:space="0" w:color="auto"/>
      </w:divBdr>
    </w:div>
    <w:div w:id="287131497">
      <w:bodyDiv w:val="1"/>
      <w:marLeft w:val="0"/>
      <w:marRight w:val="0"/>
      <w:marTop w:val="0"/>
      <w:marBottom w:val="0"/>
      <w:divBdr>
        <w:top w:val="none" w:sz="0" w:space="0" w:color="auto"/>
        <w:left w:val="none" w:sz="0" w:space="0" w:color="auto"/>
        <w:bottom w:val="none" w:sz="0" w:space="0" w:color="auto"/>
        <w:right w:val="none" w:sz="0" w:space="0" w:color="auto"/>
      </w:divBdr>
    </w:div>
    <w:div w:id="302590276">
      <w:bodyDiv w:val="1"/>
      <w:marLeft w:val="0"/>
      <w:marRight w:val="0"/>
      <w:marTop w:val="0"/>
      <w:marBottom w:val="0"/>
      <w:divBdr>
        <w:top w:val="none" w:sz="0" w:space="0" w:color="auto"/>
        <w:left w:val="none" w:sz="0" w:space="0" w:color="auto"/>
        <w:bottom w:val="none" w:sz="0" w:space="0" w:color="auto"/>
        <w:right w:val="none" w:sz="0" w:space="0" w:color="auto"/>
      </w:divBdr>
    </w:div>
    <w:div w:id="342557997">
      <w:bodyDiv w:val="1"/>
      <w:marLeft w:val="0"/>
      <w:marRight w:val="0"/>
      <w:marTop w:val="0"/>
      <w:marBottom w:val="0"/>
      <w:divBdr>
        <w:top w:val="none" w:sz="0" w:space="0" w:color="auto"/>
        <w:left w:val="none" w:sz="0" w:space="0" w:color="auto"/>
        <w:bottom w:val="none" w:sz="0" w:space="0" w:color="auto"/>
        <w:right w:val="none" w:sz="0" w:space="0" w:color="auto"/>
      </w:divBdr>
    </w:div>
    <w:div w:id="401174438">
      <w:bodyDiv w:val="1"/>
      <w:marLeft w:val="0"/>
      <w:marRight w:val="0"/>
      <w:marTop w:val="0"/>
      <w:marBottom w:val="0"/>
      <w:divBdr>
        <w:top w:val="none" w:sz="0" w:space="0" w:color="auto"/>
        <w:left w:val="none" w:sz="0" w:space="0" w:color="auto"/>
        <w:bottom w:val="none" w:sz="0" w:space="0" w:color="auto"/>
        <w:right w:val="none" w:sz="0" w:space="0" w:color="auto"/>
      </w:divBdr>
    </w:div>
    <w:div w:id="412825628">
      <w:bodyDiv w:val="1"/>
      <w:marLeft w:val="0"/>
      <w:marRight w:val="0"/>
      <w:marTop w:val="0"/>
      <w:marBottom w:val="0"/>
      <w:divBdr>
        <w:top w:val="none" w:sz="0" w:space="0" w:color="auto"/>
        <w:left w:val="none" w:sz="0" w:space="0" w:color="auto"/>
        <w:bottom w:val="none" w:sz="0" w:space="0" w:color="auto"/>
        <w:right w:val="none" w:sz="0" w:space="0" w:color="auto"/>
      </w:divBdr>
    </w:div>
    <w:div w:id="414131578">
      <w:bodyDiv w:val="1"/>
      <w:marLeft w:val="0"/>
      <w:marRight w:val="0"/>
      <w:marTop w:val="0"/>
      <w:marBottom w:val="0"/>
      <w:divBdr>
        <w:top w:val="none" w:sz="0" w:space="0" w:color="auto"/>
        <w:left w:val="none" w:sz="0" w:space="0" w:color="auto"/>
        <w:bottom w:val="none" w:sz="0" w:space="0" w:color="auto"/>
        <w:right w:val="none" w:sz="0" w:space="0" w:color="auto"/>
      </w:divBdr>
    </w:div>
    <w:div w:id="428233784">
      <w:bodyDiv w:val="1"/>
      <w:marLeft w:val="0"/>
      <w:marRight w:val="0"/>
      <w:marTop w:val="0"/>
      <w:marBottom w:val="0"/>
      <w:divBdr>
        <w:top w:val="none" w:sz="0" w:space="0" w:color="auto"/>
        <w:left w:val="none" w:sz="0" w:space="0" w:color="auto"/>
        <w:bottom w:val="none" w:sz="0" w:space="0" w:color="auto"/>
        <w:right w:val="none" w:sz="0" w:space="0" w:color="auto"/>
      </w:divBdr>
    </w:div>
    <w:div w:id="520703480">
      <w:bodyDiv w:val="1"/>
      <w:marLeft w:val="0"/>
      <w:marRight w:val="0"/>
      <w:marTop w:val="0"/>
      <w:marBottom w:val="0"/>
      <w:divBdr>
        <w:top w:val="none" w:sz="0" w:space="0" w:color="auto"/>
        <w:left w:val="none" w:sz="0" w:space="0" w:color="auto"/>
        <w:bottom w:val="none" w:sz="0" w:space="0" w:color="auto"/>
        <w:right w:val="none" w:sz="0" w:space="0" w:color="auto"/>
      </w:divBdr>
    </w:div>
    <w:div w:id="545217693">
      <w:bodyDiv w:val="1"/>
      <w:marLeft w:val="0"/>
      <w:marRight w:val="0"/>
      <w:marTop w:val="0"/>
      <w:marBottom w:val="0"/>
      <w:divBdr>
        <w:top w:val="none" w:sz="0" w:space="0" w:color="auto"/>
        <w:left w:val="none" w:sz="0" w:space="0" w:color="auto"/>
        <w:bottom w:val="none" w:sz="0" w:space="0" w:color="auto"/>
        <w:right w:val="none" w:sz="0" w:space="0" w:color="auto"/>
      </w:divBdr>
    </w:div>
    <w:div w:id="580791541">
      <w:bodyDiv w:val="1"/>
      <w:marLeft w:val="0"/>
      <w:marRight w:val="0"/>
      <w:marTop w:val="0"/>
      <w:marBottom w:val="0"/>
      <w:divBdr>
        <w:top w:val="none" w:sz="0" w:space="0" w:color="auto"/>
        <w:left w:val="none" w:sz="0" w:space="0" w:color="auto"/>
        <w:bottom w:val="none" w:sz="0" w:space="0" w:color="auto"/>
        <w:right w:val="none" w:sz="0" w:space="0" w:color="auto"/>
      </w:divBdr>
    </w:div>
    <w:div w:id="605507864">
      <w:bodyDiv w:val="1"/>
      <w:marLeft w:val="0"/>
      <w:marRight w:val="0"/>
      <w:marTop w:val="0"/>
      <w:marBottom w:val="0"/>
      <w:divBdr>
        <w:top w:val="none" w:sz="0" w:space="0" w:color="auto"/>
        <w:left w:val="none" w:sz="0" w:space="0" w:color="auto"/>
        <w:bottom w:val="none" w:sz="0" w:space="0" w:color="auto"/>
        <w:right w:val="none" w:sz="0" w:space="0" w:color="auto"/>
      </w:divBdr>
    </w:div>
    <w:div w:id="735933369">
      <w:bodyDiv w:val="1"/>
      <w:marLeft w:val="0"/>
      <w:marRight w:val="0"/>
      <w:marTop w:val="0"/>
      <w:marBottom w:val="0"/>
      <w:divBdr>
        <w:top w:val="none" w:sz="0" w:space="0" w:color="auto"/>
        <w:left w:val="none" w:sz="0" w:space="0" w:color="auto"/>
        <w:bottom w:val="none" w:sz="0" w:space="0" w:color="auto"/>
        <w:right w:val="none" w:sz="0" w:space="0" w:color="auto"/>
      </w:divBdr>
    </w:div>
    <w:div w:id="772940167">
      <w:bodyDiv w:val="1"/>
      <w:marLeft w:val="0"/>
      <w:marRight w:val="0"/>
      <w:marTop w:val="0"/>
      <w:marBottom w:val="0"/>
      <w:divBdr>
        <w:top w:val="none" w:sz="0" w:space="0" w:color="auto"/>
        <w:left w:val="none" w:sz="0" w:space="0" w:color="auto"/>
        <w:bottom w:val="none" w:sz="0" w:space="0" w:color="auto"/>
        <w:right w:val="none" w:sz="0" w:space="0" w:color="auto"/>
      </w:divBdr>
    </w:div>
    <w:div w:id="775444832">
      <w:bodyDiv w:val="1"/>
      <w:marLeft w:val="0"/>
      <w:marRight w:val="0"/>
      <w:marTop w:val="0"/>
      <w:marBottom w:val="0"/>
      <w:divBdr>
        <w:top w:val="none" w:sz="0" w:space="0" w:color="auto"/>
        <w:left w:val="none" w:sz="0" w:space="0" w:color="auto"/>
        <w:bottom w:val="none" w:sz="0" w:space="0" w:color="auto"/>
        <w:right w:val="none" w:sz="0" w:space="0" w:color="auto"/>
      </w:divBdr>
    </w:div>
    <w:div w:id="845678469">
      <w:bodyDiv w:val="1"/>
      <w:marLeft w:val="0"/>
      <w:marRight w:val="0"/>
      <w:marTop w:val="0"/>
      <w:marBottom w:val="0"/>
      <w:divBdr>
        <w:top w:val="none" w:sz="0" w:space="0" w:color="auto"/>
        <w:left w:val="none" w:sz="0" w:space="0" w:color="auto"/>
        <w:bottom w:val="none" w:sz="0" w:space="0" w:color="auto"/>
        <w:right w:val="none" w:sz="0" w:space="0" w:color="auto"/>
      </w:divBdr>
    </w:div>
    <w:div w:id="907039749">
      <w:bodyDiv w:val="1"/>
      <w:marLeft w:val="0"/>
      <w:marRight w:val="0"/>
      <w:marTop w:val="0"/>
      <w:marBottom w:val="0"/>
      <w:divBdr>
        <w:top w:val="none" w:sz="0" w:space="0" w:color="auto"/>
        <w:left w:val="none" w:sz="0" w:space="0" w:color="auto"/>
        <w:bottom w:val="none" w:sz="0" w:space="0" w:color="auto"/>
        <w:right w:val="none" w:sz="0" w:space="0" w:color="auto"/>
      </w:divBdr>
    </w:div>
    <w:div w:id="941109030">
      <w:bodyDiv w:val="1"/>
      <w:marLeft w:val="0"/>
      <w:marRight w:val="0"/>
      <w:marTop w:val="0"/>
      <w:marBottom w:val="0"/>
      <w:divBdr>
        <w:top w:val="none" w:sz="0" w:space="0" w:color="auto"/>
        <w:left w:val="none" w:sz="0" w:space="0" w:color="auto"/>
        <w:bottom w:val="none" w:sz="0" w:space="0" w:color="auto"/>
        <w:right w:val="none" w:sz="0" w:space="0" w:color="auto"/>
      </w:divBdr>
    </w:div>
    <w:div w:id="1023097201">
      <w:bodyDiv w:val="1"/>
      <w:marLeft w:val="0"/>
      <w:marRight w:val="0"/>
      <w:marTop w:val="0"/>
      <w:marBottom w:val="0"/>
      <w:divBdr>
        <w:top w:val="none" w:sz="0" w:space="0" w:color="auto"/>
        <w:left w:val="none" w:sz="0" w:space="0" w:color="auto"/>
        <w:bottom w:val="none" w:sz="0" w:space="0" w:color="auto"/>
        <w:right w:val="none" w:sz="0" w:space="0" w:color="auto"/>
      </w:divBdr>
    </w:div>
    <w:div w:id="1043559821">
      <w:bodyDiv w:val="1"/>
      <w:marLeft w:val="0"/>
      <w:marRight w:val="0"/>
      <w:marTop w:val="0"/>
      <w:marBottom w:val="0"/>
      <w:divBdr>
        <w:top w:val="none" w:sz="0" w:space="0" w:color="auto"/>
        <w:left w:val="none" w:sz="0" w:space="0" w:color="auto"/>
        <w:bottom w:val="none" w:sz="0" w:space="0" w:color="auto"/>
        <w:right w:val="none" w:sz="0" w:space="0" w:color="auto"/>
      </w:divBdr>
    </w:div>
    <w:div w:id="1087313933">
      <w:bodyDiv w:val="1"/>
      <w:marLeft w:val="0"/>
      <w:marRight w:val="0"/>
      <w:marTop w:val="0"/>
      <w:marBottom w:val="0"/>
      <w:divBdr>
        <w:top w:val="none" w:sz="0" w:space="0" w:color="auto"/>
        <w:left w:val="none" w:sz="0" w:space="0" w:color="auto"/>
        <w:bottom w:val="none" w:sz="0" w:space="0" w:color="auto"/>
        <w:right w:val="none" w:sz="0" w:space="0" w:color="auto"/>
      </w:divBdr>
    </w:div>
    <w:div w:id="1110706005">
      <w:bodyDiv w:val="1"/>
      <w:marLeft w:val="0"/>
      <w:marRight w:val="0"/>
      <w:marTop w:val="0"/>
      <w:marBottom w:val="0"/>
      <w:divBdr>
        <w:top w:val="none" w:sz="0" w:space="0" w:color="auto"/>
        <w:left w:val="none" w:sz="0" w:space="0" w:color="auto"/>
        <w:bottom w:val="none" w:sz="0" w:space="0" w:color="auto"/>
        <w:right w:val="none" w:sz="0" w:space="0" w:color="auto"/>
      </w:divBdr>
    </w:div>
    <w:div w:id="1122385339">
      <w:bodyDiv w:val="1"/>
      <w:marLeft w:val="0"/>
      <w:marRight w:val="0"/>
      <w:marTop w:val="0"/>
      <w:marBottom w:val="0"/>
      <w:divBdr>
        <w:top w:val="none" w:sz="0" w:space="0" w:color="auto"/>
        <w:left w:val="none" w:sz="0" w:space="0" w:color="auto"/>
        <w:bottom w:val="none" w:sz="0" w:space="0" w:color="auto"/>
        <w:right w:val="none" w:sz="0" w:space="0" w:color="auto"/>
      </w:divBdr>
    </w:div>
    <w:div w:id="1155879213">
      <w:bodyDiv w:val="1"/>
      <w:marLeft w:val="0"/>
      <w:marRight w:val="0"/>
      <w:marTop w:val="0"/>
      <w:marBottom w:val="0"/>
      <w:divBdr>
        <w:top w:val="none" w:sz="0" w:space="0" w:color="auto"/>
        <w:left w:val="none" w:sz="0" w:space="0" w:color="auto"/>
        <w:bottom w:val="none" w:sz="0" w:space="0" w:color="auto"/>
        <w:right w:val="none" w:sz="0" w:space="0" w:color="auto"/>
      </w:divBdr>
    </w:div>
    <w:div w:id="1164275340">
      <w:bodyDiv w:val="1"/>
      <w:marLeft w:val="0"/>
      <w:marRight w:val="0"/>
      <w:marTop w:val="0"/>
      <w:marBottom w:val="0"/>
      <w:divBdr>
        <w:top w:val="none" w:sz="0" w:space="0" w:color="auto"/>
        <w:left w:val="none" w:sz="0" w:space="0" w:color="auto"/>
        <w:bottom w:val="none" w:sz="0" w:space="0" w:color="auto"/>
        <w:right w:val="none" w:sz="0" w:space="0" w:color="auto"/>
      </w:divBdr>
    </w:div>
    <w:div w:id="1212116662">
      <w:bodyDiv w:val="1"/>
      <w:marLeft w:val="0"/>
      <w:marRight w:val="0"/>
      <w:marTop w:val="0"/>
      <w:marBottom w:val="0"/>
      <w:divBdr>
        <w:top w:val="none" w:sz="0" w:space="0" w:color="auto"/>
        <w:left w:val="none" w:sz="0" w:space="0" w:color="auto"/>
        <w:bottom w:val="none" w:sz="0" w:space="0" w:color="auto"/>
        <w:right w:val="none" w:sz="0" w:space="0" w:color="auto"/>
      </w:divBdr>
    </w:div>
    <w:div w:id="1226842150">
      <w:bodyDiv w:val="1"/>
      <w:marLeft w:val="0"/>
      <w:marRight w:val="0"/>
      <w:marTop w:val="0"/>
      <w:marBottom w:val="0"/>
      <w:divBdr>
        <w:top w:val="none" w:sz="0" w:space="0" w:color="auto"/>
        <w:left w:val="none" w:sz="0" w:space="0" w:color="auto"/>
        <w:bottom w:val="none" w:sz="0" w:space="0" w:color="auto"/>
        <w:right w:val="none" w:sz="0" w:space="0" w:color="auto"/>
      </w:divBdr>
    </w:div>
    <w:div w:id="1261450382">
      <w:bodyDiv w:val="1"/>
      <w:marLeft w:val="0"/>
      <w:marRight w:val="0"/>
      <w:marTop w:val="0"/>
      <w:marBottom w:val="0"/>
      <w:divBdr>
        <w:top w:val="none" w:sz="0" w:space="0" w:color="auto"/>
        <w:left w:val="none" w:sz="0" w:space="0" w:color="auto"/>
        <w:bottom w:val="none" w:sz="0" w:space="0" w:color="auto"/>
        <w:right w:val="none" w:sz="0" w:space="0" w:color="auto"/>
      </w:divBdr>
    </w:div>
    <w:div w:id="1287540733">
      <w:bodyDiv w:val="1"/>
      <w:marLeft w:val="0"/>
      <w:marRight w:val="0"/>
      <w:marTop w:val="0"/>
      <w:marBottom w:val="0"/>
      <w:divBdr>
        <w:top w:val="none" w:sz="0" w:space="0" w:color="auto"/>
        <w:left w:val="none" w:sz="0" w:space="0" w:color="auto"/>
        <w:bottom w:val="none" w:sz="0" w:space="0" w:color="auto"/>
        <w:right w:val="none" w:sz="0" w:space="0" w:color="auto"/>
      </w:divBdr>
    </w:div>
    <w:div w:id="1333920934">
      <w:bodyDiv w:val="1"/>
      <w:marLeft w:val="0"/>
      <w:marRight w:val="0"/>
      <w:marTop w:val="0"/>
      <w:marBottom w:val="0"/>
      <w:divBdr>
        <w:top w:val="none" w:sz="0" w:space="0" w:color="auto"/>
        <w:left w:val="none" w:sz="0" w:space="0" w:color="auto"/>
        <w:bottom w:val="none" w:sz="0" w:space="0" w:color="auto"/>
        <w:right w:val="none" w:sz="0" w:space="0" w:color="auto"/>
      </w:divBdr>
    </w:div>
    <w:div w:id="1359507046">
      <w:bodyDiv w:val="1"/>
      <w:marLeft w:val="0"/>
      <w:marRight w:val="0"/>
      <w:marTop w:val="0"/>
      <w:marBottom w:val="0"/>
      <w:divBdr>
        <w:top w:val="none" w:sz="0" w:space="0" w:color="auto"/>
        <w:left w:val="none" w:sz="0" w:space="0" w:color="auto"/>
        <w:bottom w:val="none" w:sz="0" w:space="0" w:color="auto"/>
        <w:right w:val="none" w:sz="0" w:space="0" w:color="auto"/>
      </w:divBdr>
    </w:div>
    <w:div w:id="1366634875">
      <w:bodyDiv w:val="1"/>
      <w:marLeft w:val="0"/>
      <w:marRight w:val="0"/>
      <w:marTop w:val="0"/>
      <w:marBottom w:val="0"/>
      <w:divBdr>
        <w:top w:val="none" w:sz="0" w:space="0" w:color="auto"/>
        <w:left w:val="none" w:sz="0" w:space="0" w:color="auto"/>
        <w:bottom w:val="none" w:sz="0" w:space="0" w:color="auto"/>
        <w:right w:val="none" w:sz="0" w:space="0" w:color="auto"/>
      </w:divBdr>
    </w:div>
    <w:div w:id="1526164948">
      <w:bodyDiv w:val="1"/>
      <w:marLeft w:val="0"/>
      <w:marRight w:val="0"/>
      <w:marTop w:val="0"/>
      <w:marBottom w:val="0"/>
      <w:divBdr>
        <w:top w:val="none" w:sz="0" w:space="0" w:color="auto"/>
        <w:left w:val="none" w:sz="0" w:space="0" w:color="auto"/>
        <w:bottom w:val="none" w:sz="0" w:space="0" w:color="auto"/>
        <w:right w:val="none" w:sz="0" w:space="0" w:color="auto"/>
      </w:divBdr>
    </w:div>
    <w:div w:id="1536773604">
      <w:bodyDiv w:val="1"/>
      <w:marLeft w:val="0"/>
      <w:marRight w:val="0"/>
      <w:marTop w:val="0"/>
      <w:marBottom w:val="0"/>
      <w:divBdr>
        <w:top w:val="none" w:sz="0" w:space="0" w:color="auto"/>
        <w:left w:val="none" w:sz="0" w:space="0" w:color="auto"/>
        <w:bottom w:val="none" w:sz="0" w:space="0" w:color="auto"/>
        <w:right w:val="none" w:sz="0" w:space="0" w:color="auto"/>
      </w:divBdr>
    </w:div>
    <w:div w:id="1607880998">
      <w:bodyDiv w:val="1"/>
      <w:marLeft w:val="0"/>
      <w:marRight w:val="0"/>
      <w:marTop w:val="0"/>
      <w:marBottom w:val="0"/>
      <w:divBdr>
        <w:top w:val="none" w:sz="0" w:space="0" w:color="auto"/>
        <w:left w:val="none" w:sz="0" w:space="0" w:color="auto"/>
        <w:bottom w:val="none" w:sz="0" w:space="0" w:color="auto"/>
        <w:right w:val="none" w:sz="0" w:space="0" w:color="auto"/>
      </w:divBdr>
    </w:div>
    <w:div w:id="1609198916">
      <w:bodyDiv w:val="1"/>
      <w:marLeft w:val="0"/>
      <w:marRight w:val="0"/>
      <w:marTop w:val="0"/>
      <w:marBottom w:val="0"/>
      <w:divBdr>
        <w:top w:val="none" w:sz="0" w:space="0" w:color="auto"/>
        <w:left w:val="none" w:sz="0" w:space="0" w:color="auto"/>
        <w:bottom w:val="none" w:sz="0" w:space="0" w:color="auto"/>
        <w:right w:val="none" w:sz="0" w:space="0" w:color="auto"/>
      </w:divBdr>
    </w:div>
    <w:div w:id="1636257945">
      <w:bodyDiv w:val="1"/>
      <w:marLeft w:val="0"/>
      <w:marRight w:val="0"/>
      <w:marTop w:val="0"/>
      <w:marBottom w:val="0"/>
      <w:divBdr>
        <w:top w:val="none" w:sz="0" w:space="0" w:color="auto"/>
        <w:left w:val="none" w:sz="0" w:space="0" w:color="auto"/>
        <w:bottom w:val="none" w:sz="0" w:space="0" w:color="auto"/>
        <w:right w:val="none" w:sz="0" w:space="0" w:color="auto"/>
      </w:divBdr>
    </w:div>
    <w:div w:id="1668946932">
      <w:bodyDiv w:val="1"/>
      <w:marLeft w:val="0"/>
      <w:marRight w:val="0"/>
      <w:marTop w:val="0"/>
      <w:marBottom w:val="0"/>
      <w:divBdr>
        <w:top w:val="none" w:sz="0" w:space="0" w:color="auto"/>
        <w:left w:val="none" w:sz="0" w:space="0" w:color="auto"/>
        <w:bottom w:val="none" w:sz="0" w:space="0" w:color="auto"/>
        <w:right w:val="none" w:sz="0" w:space="0" w:color="auto"/>
      </w:divBdr>
    </w:div>
    <w:div w:id="1686513285">
      <w:bodyDiv w:val="1"/>
      <w:marLeft w:val="0"/>
      <w:marRight w:val="0"/>
      <w:marTop w:val="0"/>
      <w:marBottom w:val="0"/>
      <w:divBdr>
        <w:top w:val="none" w:sz="0" w:space="0" w:color="auto"/>
        <w:left w:val="none" w:sz="0" w:space="0" w:color="auto"/>
        <w:bottom w:val="none" w:sz="0" w:space="0" w:color="auto"/>
        <w:right w:val="none" w:sz="0" w:space="0" w:color="auto"/>
      </w:divBdr>
    </w:div>
    <w:div w:id="1688673643">
      <w:bodyDiv w:val="1"/>
      <w:marLeft w:val="0"/>
      <w:marRight w:val="0"/>
      <w:marTop w:val="0"/>
      <w:marBottom w:val="0"/>
      <w:divBdr>
        <w:top w:val="none" w:sz="0" w:space="0" w:color="auto"/>
        <w:left w:val="none" w:sz="0" w:space="0" w:color="auto"/>
        <w:bottom w:val="none" w:sz="0" w:space="0" w:color="auto"/>
        <w:right w:val="none" w:sz="0" w:space="0" w:color="auto"/>
      </w:divBdr>
    </w:div>
    <w:div w:id="1701320185">
      <w:bodyDiv w:val="1"/>
      <w:marLeft w:val="0"/>
      <w:marRight w:val="0"/>
      <w:marTop w:val="0"/>
      <w:marBottom w:val="0"/>
      <w:divBdr>
        <w:top w:val="none" w:sz="0" w:space="0" w:color="auto"/>
        <w:left w:val="none" w:sz="0" w:space="0" w:color="auto"/>
        <w:bottom w:val="none" w:sz="0" w:space="0" w:color="auto"/>
        <w:right w:val="none" w:sz="0" w:space="0" w:color="auto"/>
      </w:divBdr>
    </w:div>
    <w:div w:id="1723822403">
      <w:bodyDiv w:val="1"/>
      <w:marLeft w:val="0"/>
      <w:marRight w:val="0"/>
      <w:marTop w:val="0"/>
      <w:marBottom w:val="0"/>
      <w:divBdr>
        <w:top w:val="none" w:sz="0" w:space="0" w:color="auto"/>
        <w:left w:val="none" w:sz="0" w:space="0" w:color="auto"/>
        <w:bottom w:val="none" w:sz="0" w:space="0" w:color="auto"/>
        <w:right w:val="none" w:sz="0" w:space="0" w:color="auto"/>
      </w:divBdr>
    </w:div>
    <w:div w:id="1752048578">
      <w:bodyDiv w:val="1"/>
      <w:marLeft w:val="0"/>
      <w:marRight w:val="0"/>
      <w:marTop w:val="0"/>
      <w:marBottom w:val="0"/>
      <w:divBdr>
        <w:top w:val="none" w:sz="0" w:space="0" w:color="auto"/>
        <w:left w:val="none" w:sz="0" w:space="0" w:color="auto"/>
        <w:bottom w:val="none" w:sz="0" w:space="0" w:color="auto"/>
        <w:right w:val="none" w:sz="0" w:space="0" w:color="auto"/>
      </w:divBdr>
    </w:div>
    <w:div w:id="1768767483">
      <w:bodyDiv w:val="1"/>
      <w:marLeft w:val="0"/>
      <w:marRight w:val="0"/>
      <w:marTop w:val="0"/>
      <w:marBottom w:val="0"/>
      <w:divBdr>
        <w:top w:val="none" w:sz="0" w:space="0" w:color="auto"/>
        <w:left w:val="none" w:sz="0" w:space="0" w:color="auto"/>
        <w:bottom w:val="none" w:sz="0" w:space="0" w:color="auto"/>
        <w:right w:val="none" w:sz="0" w:space="0" w:color="auto"/>
      </w:divBdr>
    </w:div>
    <w:div w:id="1842693161">
      <w:bodyDiv w:val="1"/>
      <w:marLeft w:val="0"/>
      <w:marRight w:val="0"/>
      <w:marTop w:val="0"/>
      <w:marBottom w:val="0"/>
      <w:divBdr>
        <w:top w:val="none" w:sz="0" w:space="0" w:color="auto"/>
        <w:left w:val="none" w:sz="0" w:space="0" w:color="auto"/>
        <w:bottom w:val="none" w:sz="0" w:space="0" w:color="auto"/>
        <w:right w:val="none" w:sz="0" w:space="0" w:color="auto"/>
      </w:divBdr>
    </w:div>
    <w:div w:id="1910114678">
      <w:bodyDiv w:val="1"/>
      <w:marLeft w:val="0"/>
      <w:marRight w:val="0"/>
      <w:marTop w:val="0"/>
      <w:marBottom w:val="0"/>
      <w:divBdr>
        <w:top w:val="none" w:sz="0" w:space="0" w:color="auto"/>
        <w:left w:val="none" w:sz="0" w:space="0" w:color="auto"/>
        <w:bottom w:val="none" w:sz="0" w:space="0" w:color="auto"/>
        <w:right w:val="none" w:sz="0" w:space="0" w:color="auto"/>
      </w:divBdr>
    </w:div>
    <w:div w:id="1918781180">
      <w:bodyDiv w:val="1"/>
      <w:marLeft w:val="0"/>
      <w:marRight w:val="0"/>
      <w:marTop w:val="0"/>
      <w:marBottom w:val="0"/>
      <w:divBdr>
        <w:top w:val="none" w:sz="0" w:space="0" w:color="auto"/>
        <w:left w:val="none" w:sz="0" w:space="0" w:color="auto"/>
        <w:bottom w:val="none" w:sz="0" w:space="0" w:color="auto"/>
        <w:right w:val="none" w:sz="0" w:space="0" w:color="auto"/>
      </w:divBdr>
    </w:div>
    <w:div w:id="1922908551">
      <w:bodyDiv w:val="1"/>
      <w:marLeft w:val="0"/>
      <w:marRight w:val="0"/>
      <w:marTop w:val="0"/>
      <w:marBottom w:val="0"/>
      <w:divBdr>
        <w:top w:val="none" w:sz="0" w:space="0" w:color="auto"/>
        <w:left w:val="none" w:sz="0" w:space="0" w:color="auto"/>
        <w:bottom w:val="none" w:sz="0" w:space="0" w:color="auto"/>
        <w:right w:val="none" w:sz="0" w:space="0" w:color="auto"/>
      </w:divBdr>
    </w:div>
    <w:div w:id="1999578670">
      <w:bodyDiv w:val="1"/>
      <w:marLeft w:val="0"/>
      <w:marRight w:val="0"/>
      <w:marTop w:val="0"/>
      <w:marBottom w:val="0"/>
      <w:divBdr>
        <w:top w:val="none" w:sz="0" w:space="0" w:color="auto"/>
        <w:left w:val="none" w:sz="0" w:space="0" w:color="auto"/>
        <w:bottom w:val="none" w:sz="0" w:space="0" w:color="auto"/>
        <w:right w:val="none" w:sz="0" w:space="0" w:color="auto"/>
      </w:divBdr>
    </w:div>
    <w:div w:id="2015526746">
      <w:bodyDiv w:val="1"/>
      <w:marLeft w:val="0"/>
      <w:marRight w:val="0"/>
      <w:marTop w:val="0"/>
      <w:marBottom w:val="0"/>
      <w:divBdr>
        <w:top w:val="none" w:sz="0" w:space="0" w:color="auto"/>
        <w:left w:val="none" w:sz="0" w:space="0" w:color="auto"/>
        <w:bottom w:val="none" w:sz="0" w:space="0" w:color="auto"/>
        <w:right w:val="none" w:sz="0" w:space="0" w:color="auto"/>
      </w:divBdr>
    </w:div>
    <w:div w:id="2022004195">
      <w:bodyDiv w:val="1"/>
      <w:marLeft w:val="0"/>
      <w:marRight w:val="0"/>
      <w:marTop w:val="0"/>
      <w:marBottom w:val="0"/>
      <w:divBdr>
        <w:top w:val="none" w:sz="0" w:space="0" w:color="auto"/>
        <w:left w:val="none" w:sz="0" w:space="0" w:color="auto"/>
        <w:bottom w:val="none" w:sz="0" w:space="0" w:color="auto"/>
        <w:right w:val="none" w:sz="0" w:space="0" w:color="auto"/>
      </w:divBdr>
    </w:div>
    <w:div w:id="2070834819">
      <w:bodyDiv w:val="1"/>
      <w:marLeft w:val="0"/>
      <w:marRight w:val="0"/>
      <w:marTop w:val="0"/>
      <w:marBottom w:val="0"/>
      <w:divBdr>
        <w:top w:val="none" w:sz="0" w:space="0" w:color="auto"/>
        <w:left w:val="none" w:sz="0" w:space="0" w:color="auto"/>
        <w:bottom w:val="none" w:sz="0" w:space="0" w:color="auto"/>
        <w:right w:val="none" w:sz="0" w:space="0" w:color="auto"/>
      </w:divBdr>
    </w:div>
    <w:div w:id="21408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airmodel.econ.yale.edu/vote2012/index2.htm" TargetMode="External"/><Relationship Id="rId10" Type="http://schemas.openxmlformats.org/officeDocument/2006/relationships/chart" Target="charts/chart1.xml"/></Relationships>
</file>

<file path=word/_rels/endnotes.xml.rels><?xml version="1.0" encoding="UTF-8" standalone="yes"?>
<Relationships xmlns="http://schemas.openxmlformats.org/package/2006/relationships"><Relationship Id="rId1" Type="http://schemas.openxmlformats.org/officeDocument/2006/relationships/hyperlink" Target="http://uwf.edu/govt/documents/Cuzan-2009-Will%20Barack%20Obama%20Be%20a%20One-Term%20President-tcsdaily.pdf" TargetMode="External"/><Relationship Id="rId2" Type="http://schemas.openxmlformats.org/officeDocument/2006/relationships/hyperlink" Target="http://uwf.edu/govt/facultyforums/documents/Dontbettheranch_001.pdf" TargetMode="External"/><Relationship Id="rId3" Type="http://schemas.openxmlformats.org/officeDocument/2006/relationships/hyperlink" Target="http://www.whitehouse.gov/omb/budget/Historical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MyFiles\papers\2012\APSA%202012\2012%20Election\F%20and%20ELECT,%201872%20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Figure 1.  F</a:t>
            </a:r>
            <a:r>
              <a:rPr lang="en-US" baseline="0"/>
              <a:t> and VOTE2, 1872-2008</a:t>
            </a:r>
          </a:p>
        </c:rich>
      </c:tx>
      <c:overlay val="0"/>
    </c:title>
    <c:autoTitleDeleted val="0"/>
    <c:plotArea>
      <c:layout>
        <c:manualLayout>
          <c:layoutTarget val="inner"/>
          <c:xMode val="edge"/>
          <c:yMode val="edge"/>
          <c:x val="0.0669557264761218"/>
          <c:y val="0.114914228021237"/>
          <c:w val="0.829724049199733"/>
          <c:h val="0.729292687494487"/>
        </c:manualLayout>
      </c:layout>
      <c:lineChart>
        <c:grouping val="standard"/>
        <c:varyColors val="0"/>
        <c:ser>
          <c:idx val="0"/>
          <c:order val="0"/>
          <c:dPt>
            <c:idx val="0"/>
            <c:marker>
              <c:spPr>
                <a:solidFill>
                  <a:schemeClr val="bg1"/>
                </a:solidFill>
              </c:spPr>
            </c:marker>
            <c:bubble3D val="0"/>
          </c:dPt>
          <c:dPt>
            <c:idx val="1"/>
            <c:marker>
              <c:spPr>
                <a:solidFill>
                  <a:schemeClr val="tx1"/>
                </a:solidFill>
              </c:spPr>
            </c:marker>
            <c:bubble3D val="0"/>
          </c:dPt>
          <c:dPt>
            <c:idx val="2"/>
            <c:marker>
              <c:spPr>
                <a:solidFill>
                  <a:schemeClr val="bg1"/>
                </a:solidFill>
              </c:spPr>
            </c:marker>
            <c:bubble3D val="0"/>
          </c:dPt>
          <c:dPt>
            <c:idx val="3"/>
            <c:marker>
              <c:spPr>
                <a:solidFill>
                  <a:schemeClr val="tx1"/>
                </a:solidFill>
              </c:spPr>
            </c:marker>
            <c:bubble3D val="0"/>
          </c:dPt>
          <c:dPt>
            <c:idx val="4"/>
            <c:marker>
              <c:spPr>
                <a:solidFill>
                  <a:schemeClr val="bg1"/>
                </a:solidFill>
              </c:spPr>
            </c:marker>
            <c:bubble3D val="0"/>
          </c:dPt>
          <c:dPt>
            <c:idx val="5"/>
            <c:marker>
              <c:spPr>
                <a:solidFill>
                  <a:schemeClr val="tx1"/>
                </a:solidFill>
              </c:spPr>
            </c:marker>
            <c:bubble3D val="0"/>
          </c:dPt>
          <c:dPt>
            <c:idx val="6"/>
            <c:marker>
              <c:spPr>
                <a:solidFill>
                  <a:schemeClr val="tx1"/>
                </a:solidFill>
              </c:spPr>
            </c:marker>
            <c:bubble3D val="0"/>
          </c:dPt>
          <c:dPt>
            <c:idx val="7"/>
            <c:marker>
              <c:spPr>
                <a:solidFill>
                  <a:schemeClr val="bg1"/>
                </a:solidFill>
              </c:spPr>
            </c:marker>
            <c:bubble3D val="0"/>
          </c:dPt>
          <c:dPt>
            <c:idx val="8"/>
            <c:marker>
              <c:spPr>
                <a:solidFill>
                  <a:schemeClr val="bg1"/>
                </a:solidFill>
              </c:spPr>
            </c:marker>
            <c:bubble3D val="0"/>
          </c:dPt>
          <c:dPt>
            <c:idx val="9"/>
            <c:marker>
              <c:spPr>
                <a:solidFill>
                  <a:schemeClr val="bg1"/>
                </a:solidFill>
              </c:spPr>
            </c:marker>
            <c:bubble3D val="0"/>
          </c:dPt>
          <c:dPt>
            <c:idx val="10"/>
            <c:marker>
              <c:spPr>
                <a:solidFill>
                  <a:schemeClr val="tx1"/>
                </a:solidFill>
              </c:spPr>
            </c:marker>
            <c:bubble3D val="0"/>
          </c:dPt>
          <c:dPt>
            <c:idx val="11"/>
            <c:marker>
              <c:spPr>
                <a:solidFill>
                  <a:schemeClr val="bg1"/>
                </a:solidFill>
              </c:spPr>
            </c:marker>
            <c:bubble3D val="0"/>
          </c:dPt>
          <c:dPt>
            <c:idx val="12"/>
            <c:marker>
              <c:spPr>
                <a:solidFill>
                  <a:schemeClr val="tx1"/>
                </a:solidFill>
              </c:spPr>
            </c:marker>
            <c:bubble3D val="0"/>
          </c:dPt>
          <c:dPt>
            <c:idx val="13"/>
            <c:marker>
              <c:spPr>
                <a:solidFill>
                  <a:schemeClr val="bg1"/>
                </a:solidFill>
              </c:spPr>
            </c:marker>
            <c:bubble3D val="0"/>
          </c:dPt>
          <c:dPt>
            <c:idx val="14"/>
            <c:marker>
              <c:spPr>
                <a:solidFill>
                  <a:schemeClr val="bg1"/>
                </a:solidFill>
              </c:spPr>
            </c:marker>
            <c:bubble3D val="0"/>
          </c:dPt>
          <c:dPt>
            <c:idx val="15"/>
            <c:marker>
              <c:spPr>
                <a:solidFill>
                  <a:schemeClr val="tx1"/>
                </a:solidFill>
              </c:spPr>
            </c:marker>
            <c:bubble3D val="0"/>
          </c:dPt>
          <c:dPt>
            <c:idx val="16"/>
            <c:marker>
              <c:spPr>
                <a:solidFill>
                  <a:schemeClr val="bg1"/>
                </a:solidFill>
              </c:spPr>
            </c:marker>
            <c:bubble3D val="0"/>
          </c:dPt>
          <c:dPt>
            <c:idx val="17"/>
            <c:marker>
              <c:spPr>
                <a:solidFill>
                  <a:sysClr val="window" lastClr="FFFFFF"/>
                </a:solidFill>
              </c:spPr>
            </c:marker>
            <c:bubble3D val="0"/>
          </c:dPt>
          <c:dPt>
            <c:idx val="18"/>
            <c:marker>
              <c:spPr>
                <a:solidFill>
                  <a:schemeClr val="bg1"/>
                </a:solidFill>
              </c:spPr>
            </c:marker>
            <c:bubble3D val="0"/>
          </c:dPt>
          <c:dPt>
            <c:idx val="19"/>
            <c:marker>
              <c:spPr>
                <a:solidFill>
                  <a:schemeClr val="bg1"/>
                </a:solidFill>
              </c:spPr>
            </c:marker>
            <c:bubble3D val="0"/>
          </c:dPt>
          <c:dPt>
            <c:idx val="20"/>
            <c:marker>
              <c:spPr>
                <a:solidFill>
                  <a:schemeClr val="tx1"/>
                </a:solidFill>
              </c:spPr>
            </c:marker>
            <c:bubble3D val="0"/>
          </c:dPt>
          <c:dPt>
            <c:idx val="21"/>
            <c:marker>
              <c:spPr>
                <a:solidFill>
                  <a:schemeClr val="bg1"/>
                </a:solidFill>
              </c:spPr>
            </c:marker>
            <c:bubble3D val="0"/>
          </c:dPt>
          <c:dPt>
            <c:idx val="22"/>
            <c:marker>
              <c:spPr>
                <a:solidFill>
                  <a:schemeClr val="tx1"/>
                </a:solidFill>
              </c:spPr>
            </c:marker>
            <c:bubble3D val="0"/>
          </c:dPt>
          <c:dPt>
            <c:idx val="23"/>
            <c:marker>
              <c:spPr>
                <a:solidFill>
                  <a:schemeClr val="bg1"/>
                </a:solidFill>
              </c:spPr>
            </c:marker>
            <c:bubble3D val="0"/>
          </c:dPt>
          <c:dPt>
            <c:idx val="24"/>
            <c:marker>
              <c:spPr>
                <a:solidFill>
                  <a:schemeClr val="tx1"/>
                </a:solidFill>
              </c:spPr>
            </c:marker>
            <c:bubble3D val="0"/>
          </c:dPt>
          <c:dPt>
            <c:idx val="25"/>
            <c:marker>
              <c:spPr>
                <a:solidFill>
                  <a:schemeClr val="bg1"/>
                </a:solidFill>
              </c:spPr>
            </c:marker>
            <c:bubble3D val="0"/>
          </c:dPt>
          <c:dPt>
            <c:idx val="26"/>
            <c:marker>
              <c:spPr>
                <a:solidFill>
                  <a:schemeClr val="tx1"/>
                </a:solidFill>
              </c:spPr>
            </c:marker>
            <c:bubble3D val="0"/>
          </c:dPt>
          <c:dPt>
            <c:idx val="27"/>
            <c:marker>
              <c:spPr>
                <a:solidFill>
                  <a:sysClr val="windowText" lastClr="000000"/>
                </a:solidFill>
              </c:spPr>
            </c:marker>
            <c:bubble3D val="0"/>
          </c:dPt>
          <c:dPt>
            <c:idx val="28"/>
            <c:marker>
              <c:spPr>
                <a:solidFill>
                  <a:schemeClr val="bg1"/>
                </a:solidFill>
              </c:spPr>
            </c:marker>
            <c:bubble3D val="0"/>
          </c:dPt>
          <c:dPt>
            <c:idx val="29"/>
            <c:marker>
              <c:spPr>
                <a:solidFill>
                  <a:sysClr val="window" lastClr="FFFFFF"/>
                </a:solidFill>
              </c:spPr>
            </c:marker>
            <c:bubble3D val="0"/>
          </c:dPt>
          <c:dPt>
            <c:idx val="30"/>
            <c:marker>
              <c:spPr>
                <a:solidFill>
                  <a:schemeClr val="tx1"/>
                </a:solidFill>
              </c:spPr>
            </c:marker>
            <c:bubble3D val="0"/>
          </c:dPt>
          <c:dPt>
            <c:idx val="31"/>
            <c:marker>
              <c:spPr>
                <a:solidFill>
                  <a:schemeClr val="bg1"/>
                </a:solidFill>
              </c:spPr>
            </c:marker>
            <c:bubble3D val="0"/>
          </c:dPt>
          <c:dPt>
            <c:idx val="32"/>
            <c:marker>
              <c:spPr>
                <a:solidFill>
                  <a:schemeClr val="bg1"/>
                </a:solidFill>
              </c:spPr>
            </c:marker>
            <c:bubble3D val="0"/>
          </c:dPt>
          <c:dPt>
            <c:idx val="33"/>
            <c:marker>
              <c:spPr>
                <a:solidFill>
                  <a:schemeClr val="bg1"/>
                </a:solidFill>
              </c:spPr>
            </c:marker>
            <c:bubble3D val="0"/>
          </c:dPt>
          <c:dPt>
            <c:idx val="34"/>
            <c:marker>
              <c:spPr>
                <a:solidFill>
                  <a:schemeClr val="tx1"/>
                </a:solidFill>
              </c:spPr>
            </c:marker>
            <c:bubble3D val="0"/>
          </c:dPt>
          <c:dPt>
            <c:idx val="35"/>
            <c:marker>
              <c:spPr>
                <a:solidFill>
                  <a:schemeClr val="tx1"/>
                </a:solidFill>
              </c:spPr>
            </c:marker>
            <c:bubble3D val="0"/>
          </c:dPt>
          <c:cat>
            <c:numRef>
              <c:f>'fiscal ratio'!$A$7:$A$41</c:f>
              <c:numCache>
                <c:formatCode>General</c:formatCode>
                <c:ptCount val="35"/>
                <c:pt idx="0">
                  <c:v>1872.0</c:v>
                </c:pt>
                <c:pt idx="1">
                  <c:v>1876.0</c:v>
                </c:pt>
                <c:pt idx="2">
                  <c:v>1880.0</c:v>
                </c:pt>
                <c:pt idx="3">
                  <c:v>1884.0</c:v>
                </c:pt>
                <c:pt idx="4">
                  <c:v>1888.0</c:v>
                </c:pt>
                <c:pt idx="5">
                  <c:v>1892.0</c:v>
                </c:pt>
                <c:pt idx="6">
                  <c:v>1896.0</c:v>
                </c:pt>
                <c:pt idx="7">
                  <c:v>1900.0</c:v>
                </c:pt>
                <c:pt idx="8">
                  <c:v>1904.0</c:v>
                </c:pt>
                <c:pt idx="9">
                  <c:v>1908.0</c:v>
                </c:pt>
                <c:pt idx="10">
                  <c:v>1912.0</c:v>
                </c:pt>
                <c:pt idx="11">
                  <c:v>1916.0</c:v>
                </c:pt>
                <c:pt idx="12">
                  <c:v>1920.0</c:v>
                </c:pt>
                <c:pt idx="13">
                  <c:v>1924.0</c:v>
                </c:pt>
                <c:pt idx="14">
                  <c:v>1928.0</c:v>
                </c:pt>
                <c:pt idx="15">
                  <c:v>1932.0</c:v>
                </c:pt>
                <c:pt idx="16">
                  <c:v>1936.0</c:v>
                </c:pt>
                <c:pt idx="17">
                  <c:v>1940.0</c:v>
                </c:pt>
                <c:pt idx="18">
                  <c:v>1944.0</c:v>
                </c:pt>
                <c:pt idx="19">
                  <c:v>1948.0</c:v>
                </c:pt>
                <c:pt idx="20">
                  <c:v>1952.0</c:v>
                </c:pt>
                <c:pt idx="21">
                  <c:v>1956.0</c:v>
                </c:pt>
                <c:pt idx="22">
                  <c:v>1960.0</c:v>
                </c:pt>
                <c:pt idx="23">
                  <c:v>1964.0</c:v>
                </c:pt>
                <c:pt idx="24">
                  <c:v>1968.0</c:v>
                </c:pt>
                <c:pt idx="25">
                  <c:v>1972.0</c:v>
                </c:pt>
                <c:pt idx="26">
                  <c:v>1976.0</c:v>
                </c:pt>
                <c:pt idx="27">
                  <c:v>1980.0</c:v>
                </c:pt>
                <c:pt idx="28">
                  <c:v>1984.0</c:v>
                </c:pt>
                <c:pt idx="29">
                  <c:v>1988.0</c:v>
                </c:pt>
                <c:pt idx="30">
                  <c:v>1992.0</c:v>
                </c:pt>
                <c:pt idx="31">
                  <c:v>1996.0</c:v>
                </c:pt>
                <c:pt idx="32">
                  <c:v>2000.0</c:v>
                </c:pt>
                <c:pt idx="33">
                  <c:v>2004.0</c:v>
                </c:pt>
                <c:pt idx="34">
                  <c:v>2008.0</c:v>
                </c:pt>
              </c:numCache>
            </c:numRef>
          </c:cat>
          <c:val>
            <c:numRef>
              <c:f>'fiscal ratio'!$G$7:$G$41</c:f>
              <c:numCache>
                <c:formatCode>General</c:formatCode>
                <c:ptCount val="35"/>
                <c:pt idx="0">
                  <c:v>3.7</c:v>
                </c:pt>
                <c:pt idx="1">
                  <c:v>3.59</c:v>
                </c:pt>
                <c:pt idx="2">
                  <c:v>2.94</c:v>
                </c:pt>
                <c:pt idx="3">
                  <c:v>2.47</c:v>
                </c:pt>
                <c:pt idx="4">
                  <c:v>2.34</c:v>
                </c:pt>
                <c:pt idx="5">
                  <c:v>2.57</c:v>
                </c:pt>
                <c:pt idx="6">
                  <c:v>2.86</c:v>
                </c:pt>
                <c:pt idx="7">
                  <c:v>3.05</c:v>
                </c:pt>
                <c:pt idx="8">
                  <c:v>2.45</c:v>
                </c:pt>
                <c:pt idx="9">
                  <c:v>2.53</c:v>
                </c:pt>
                <c:pt idx="10">
                  <c:v>2.47</c:v>
                </c:pt>
                <c:pt idx="11">
                  <c:v>2.1</c:v>
                </c:pt>
                <c:pt idx="12">
                  <c:v>7.68</c:v>
                </c:pt>
                <c:pt idx="13">
                  <c:v>4.22</c:v>
                </c:pt>
                <c:pt idx="14">
                  <c:v>3.77</c:v>
                </c:pt>
                <c:pt idx="15">
                  <c:v>6.9</c:v>
                </c:pt>
                <c:pt idx="16">
                  <c:v>10.5</c:v>
                </c:pt>
                <c:pt idx="17">
                  <c:v>9.8</c:v>
                </c:pt>
                <c:pt idx="18">
                  <c:v>43.6</c:v>
                </c:pt>
                <c:pt idx="19">
                  <c:v>11.6</c:v>
                </c:pt>
                <c:pt idx="20">
                  <c:v>19.4</c:v>
                </c:pt>
                <c:pt idx="21">
                  <c:v>16.5</c:v>
                </c:pt>
                <c:pt idx="22">
                  <c:v>17.8</c:v>
                </c:pt>
                <c:pt idx="23">
                  <c:v>18.5</c:v>
                </c:pt>
                <c:pt idx="24">
                  <c:v>20.5</c:v>
                </c:pt>
                <c:pt idx="25">
                  <c:v>19.6</c:v>
                </c:pt>
                <c:pt idx="26">
                  <c:v>21.4</c:v>
                </c:pt>
                <c:pt idx="27">
                  <c:v>21.7</c:v>
                </c:pt>
                <c:pt idx="28">
                  <c:v>22.2</c:v>
                </c:pt>
                <c:pt idx="29">
                  <c:v>21.3</c:v>
                </c:pt>
                <c:pt idx="30">
                  <c:v>22.1</c:v>
                </c:pt>
                <c:pt idx="31">
                  <c:v>20.2</c:v>
                </c:pt>
                <c:pt idx="32">
                  <c:v>18.2</c:v>
                </c:pt>
                <c:pt idx="33">
                  <c:v>19.6</c:v>
                </c:pt>
                <c:pt idx="34">
                  <c:v>20.8</c:v>
                </c:pt>
              </c:numCache>
            </c:numRef>
          </c:val>
          <c:smooth val="0"/>
        </c:ser>
        <c:dLbls>
          <c:showLegendKey val="0"/>
          <c:showVal val="0"/>
          <c:showCatName val="0"/>
          <c:showSerName val="0"/>
          <c:showPercent val="0"/>
          <c:showBubbleSize val="0"/>
        </c:dLbls>
        <c:marker val="1"/>
        <c:smooth val="0"/>
        <c:axId val="2060106312"/>
        <c:axId val="2060109288"/>
      </c:lineChart>
      <c:catAx>
        <c:axId val="2060106312"/>
        <c:scaling>
          <c:orientation val="minMax"/>
        </c:scaling>
        <c:delete val="0"/>
        <c:axPos val="b"/>
        <c:numFmt formatCode="General" sourceLinked="1"/>
        <c:majorTickMark val="out"/>
        <c:minorTickMark val="none"/>
        <c:tickLblPos val="nextTo"/>
        <c:txPr>
          <a:bodyPr rot="-2700000"/>
          <a:lstStyle/>
          <a:p>
            <a:pPr>
              <a:defRPr/>
            </a:pPr>
            <a:endParaRPr lang="en-US"/>
          </a:p>
        </c:txPr>
        <c:crossAx val="2060109288"/>
        <c:crosses val="autoZero"/>
        <c:auto val="1"/>
        <c:lblAlgn val="ctr"/>
        <c:lblOffset val="100"/>
        <c:noMultiLvlLbl val="0"/>
      </c:catAx>
      <c:valAx>
        <c:axId val="2060109288"/>
        <c:scaling>
          <c:orientation val="minMax"/>
        </c:scaling>
        <c:delete val="0"/>
        <c:axPos val="l"/>
        <c:majorGridlines/>
        <c:numFmt formatCode="General" sourceLinked="1"/>
        <c:majorTickMark val="out"/>
        <c:minorTickMark val="none"/>
        <c:tickLblPos val="nextTo"/>
        <c:crossAx val="2060106312"/>
        <c:crosses val="autoZero"/>
        <c:crossBetween val="between"/>
      </c:valAx>
      <c:spPr>
        <a:solidFill>
          <a:schemeClr val="bg1">
            <a:lumMod val="75000"/>
          </a:schemeClr>
        </a:solidFill>
      </c:spPr>
    </c:plotArea>
    <c:plotVisOnly val="1"/>
    <c:dispBlanksAs val="gap"/>
    <c:showDLblsOverMax val="0"/>
  </c:chart>
  <c:spPr>
    <a:solidFill>
      <a:schemeClr val="tx2">
        <a:lumMod val="40000"/>
        <a:lumOff val="60000"/>
      </a:schemeClr>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348F0-91EF-1E47-8D0F-D9EC42E0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1604</Words>
  <Characters>9144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FORECASTING THE 2008 PRESIDENTIAL ELECTION:</vt:lpstr>
    </vt:vector>
  </TitlesOfParts>
  <Company/>
  <LinksUpToDate>false</LinksUpToDate>
  <CharactersWithSpaces>10727</CharactersWithSpaces>
  <SharedDoc>false</SharedDoc>
  <HLinks>
    <vt:vector size="12" baseType="variant">
      <vt:variant>
        <vt:i4>3145762</vt:i4>
      </vt:variant>
      <vt:variant>
        <vt:i4>3</vt:i4>
      </vt:variant>
      <vt:variant>
        <vt:i4>0</vt:i4>
      </vt:variant>
      <vt:variant>
        <vt:i4>5</vt:i4>
      </vt:variant>
      <vt:variant>
        <vt:lpwstr>http://fairmodel.econ.yale.edu/RAYFAIR/PDF/2006CHTM.HTM</vt:lpwstr>
      </vt:variant>
      <vt:variant>
        <vt:lpwstr/>
      </vt:variant>
      <vt:variant>
        <vt:i4>6946891</vt:i4>
      </vt:variant>
      <vt:variant>
        <vt:i4>0</vt:i4>
      </vt:variant>
      <vt:variant>
        <vt:i4>0</vt:i4>
      </vt:variant>
      <vt:variant>
        <vt:i4>5</vt:i4>
      </vt:variant>
      <vt:variant>
        <vt:lpwstr>mailto:acuzan@uwf.edu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2008 PRESIDENTIAL ELECTION:</dc:title>
  <dc:creator>Florian Hollenbach</dc:creator>
  <cp:lastModifiedBy>Florian Hollenbach</cp:lastModifiedBy>
  <cp:revision>2</cp:revision>
  <cp:lastPrinted>2012-05-24T13:33:00Z</cp:lastPrinted>
  <dcterms:created xsi:type="dcterms:W3CDTF">2012-07-09T22:22:00Z</dcterms:created>
  <dcterms:modified xsi:type="dcterms:W3CDTF">2012-07-09T22:22:00Z</dcterms:modified>
</cp:coreProperties>
</file>