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AAF2" w14:textId="5026FDF4" w:rsidR="000F072C" w:rsidRPr="00B10729" w:rsidRDefault="005B1AB1" w:rsidP="000F072C">
      <w:pPr>
        <w:rPr>
          <w:rFonts w:ascii="Courier New" w:hAnsi="Courier New" w:cs="Courier New"/>
        </w:rPr>
      </w:pPr>
      <w:r>
        <w:rPr>
          <w:rFonts w:ascii="Courier New" w:hAnsi="Courier New" w:cs="Courier New"/>
        </w:rPr>
        <w:tab/>
      </w:r>
      <w:r>
        <w:rPr>
          <w:rFonts w:ascii="Courier New" w:hAnsi="Courier New" w:cs="Courier New"/>
        </w:rPr>
        <w:tab/>
      </w:r>
    </w:p>
    <w:p w14:paraId="0457C35C" w14:textId="77777777" w:rsidR="000F072C" w:rsidRPr="00B10729" w:rsidRDefault="000F072C" w:rsidP="000F072C">
      <w:pPr>
        <w:rPr>
          <w:rFonts w:ascii="Courier New" w:hAnsi="Courier New" w:cs="Courier New"/>
        </w:rPr>
      </w:pPr>
    </w:p>
    <w:p w14:paraId="35EE51CD" w14:textId="77777777" w:rsidR="000F072C" w:rsidRPr="00B10729" w:rsidRDefault="000F072C" w:rsidP="000F072C">
      <w:pPr>
        <w:rPr>
          <w:rFonts w:ascii="Courier New" w:hAnsi="Courier New" w:cs="Courier New"/>
        </w:rPr>
      </w:pPr>
    </w:p>
    <w:p w14:paraId="12C4F3DA" w14:textId="77777777" w:rsidR="000F072C" w:rsidRPr="00B10729" w:rsidRDefault="000F072C" w:rsidP="000F072C">
      <w:pPr>
        <w:rPr>
          <w:rFonts w:ascii="Courier New" w:hAnsi="Courier New" w:cs="Courier New"/>
        </w:rPr>
      </w:pPr>
    </w:p>
    <w:p w14:paraId="28CBA586" w14:textId="77777777" w:rsidR="000F072C" w:rsidRPr="00B10729" w:rsidRDefault="000F072C" w:rsidP="000F072C">
      <w:pPr>
        <w:rPr>
          <w:rFonts w:ascii="Courier New" w:hAnsi="Courier New" w:cs="Courier New"/>
        </w:rPr>
      </w:pPr>
    </w:p>
    <w:p w14:paraId="2799C96B" w14:textId="77777777" w:rsidR="000F072C" w:rsidRPr="00B10729" w:rsidRDefault="000F072C" w:rsidP="000F072C">
      <w:pPr>
        <w:rPr>
          <w:rFonts w:ascii="Courier New" w:hAnsi="Courier New" w:cs="Courier New"/>
        </w:rPr>
      </w:pPr>
    </w:p>
    <w:p w14:paraId="51D0C923" w14:textId="77777777" w:rsidR="000F072C" w:rsidRPr="00B10729" w:rsidRDefault="000F072C" w:rsidP="000F072C">
      <w:pPr>
        <w:rPr>
          <w:rFonts w:ascii="Courier New" w:hAnsi="Courier New" w:cs="Courier New"/>
        </w:rPr>
      </w:pPr>
    </w:p>
    <w:p w14:paraId="51C1378E" w14:textId="77777777" w:rsidR="000F072C" w:rsidRPr="00B10729" w:rsidRDefault="000F072C" w:rsidP="000F072C">
      <w:pPr>
        <w:rPr>
          <w:rFonts w:ascii="Courier New" w:hAnsi="Courier New" w:cs="Courier New"/>
        </w:rPr>
      </w:pPr>
    </w:p>
    <w:p w14:paraId="7C7D1561" w14:textId="77777777" w:rsidR="000F072C" w:rsidRPr="00B10729" w:rsidRDefault="000F072C" w:rsidP="000F072C">
      <w:pPr>
        <w:rPr>
          <w:rFonts w:ascii="Courier New" w:hAnsi="Courier New" w:cs="Courier New"/>
        </w:rPr>
      </w:pPr>
    </w:p>
    <w:p w14:paraId="65AA1F6D" w14:textId="77777777" w:rsidR="000F072C" w:rsidRPr="00B10729" w:rsidRDefault="000F072C" w:rsidP="000F072C">
      <w:pPr>
        <w:rPr>
          <w:rFonts w:ascii="Courier New" w:hAnsi="Courier New" w:cs="Courier New"/>
        </w:rPr>
      </w:pPr>
    </w:p>
    <w:p w14:paraId="4A8475BC" w14:textId="77777777" w:rsidR="000F072C" w:rsidRPr="00B10729" w:rsidRDefault="000F072C" w:rsidP="000F072C">
      <w:pPr>
        <w:rPr>
          <w:rFonts w:ascii="Courier New" w:hAnsi="Courier New" w:cs="Courier New"/>
        </w:rPr>
      </w:pPr>
    </w:p>
    <w:p w14:paraId="56A57EAB" w14:textId="77777777" w:rsidR="000F072C" w:rsidRPr="00B10729" w:rsidRDefault="000F072C" w:rsidP="000F072C">
      <w:pPr>
        <w:rPr>
          <w:rFonts w:ascii="Courier New" w:hAnsi="Courier New" w:cs="Courier New"/>
        </w:rPr>
      </w:pPr>
    </w:p>
    <w:p w14:paraId="25F94A01" w14:textId="77777777" w:rsidR="000F072C" w:rsidRPr="00B10729" w:rsidRDefault="000F072C" w:rsidP="000F072C">
      <w:pPr>
        <w:rPr>
          <w:rFonts w:ascii="Courier New" w:hAnsi="Courier New" w:cs="Courier New"/>
        </w:rPr>
      </w:pPr>
    </w:p>
    <w:p w14:paraId="6798C0B5" w14:textId="77777777" w:rsidR="000F072C" w:rsidRPr="00B10729" w:rsidRDefault="000F072C" w:rsidP="000F072C">
      <w:pPr>
        <w:rPr>
          <w:rFonts w:ascii="Courier New" w:hAnsi="Courier New" w:cs="Courier New"/>
        </w:rPr>
      </w:pPr>
    </w:p>
    <w:p w14:paraId="6A25D05E" w14:textId="77777777" w:rsidR="000F072C" w:rsidRPr="00B10729" w:rsidRDefault="000F072C" w:rsidP="000F072C">
      <w:pPr>
        <w:rPr>
          <w:rFonts w:ascii="Courier New" w:hAnsi="Courier New" w:cs="Courier New"/>
        </w:rPr>
      </w:pPr>
    </w:p>
    <w:p w14:paraId="47B7A693" w14:textId="77777777" w:rsidR="000F072C" w:rsidRPr="00B10729" w:rsidRDefault="000F072C" w:rsidP="000F072C">
      <w:pPr>
        <w:rPr>
          <w:rFonts w:ascii="Courier New" w:hAnsi="Courier New" w:cs="Courier New"/>
        </w:rPr>
      </w:pPr>
    </w:p>
    <w:p w14:paraId="6B7E3BFA" w14:textId="77777777" w:rsidR="000F072C" w:rsidRPr="00B10729" w:rsidRDefault="000F072C" w:rsidP="000F072C">
      <w:pPr>
        <w:rPr>
          <w:rFonts w:ascii="Courier New" w:hAnsi="Courier New" w:cs="Courier New"/>
        </w:rPr>
      </w:pPr>
    </w:p>
    <w:p w14:paraId="64CFD935" w14:textId="77777777" w:rsidR="000F072C" w:rsidRPr="00B10729" w:rsidRDefault="000F072C" w:rsidP="000F072C">
      <w:pPr>
        <w:rPr>
          <w:rFonts w:ascii="Courier New" w:hAnsi="Courier New" w:cs="Courier New"/>
        </w:rPr>
      </w:pPr>
    </w:p>
    <w:p w14:paraId="14CCBBF8" w14:textId="77777777" w:rsidR="006B781D" w:rsidRPr="00CE2280" w:rsidRDefault="006B781D" w:rsidP="000F072C">
      <w:pPr>
        <w:jc w:val="center"/>
        <w:rPr>
          <w:rFonts w:ascii="Courier" w:hAnsi="Courier" w:cs="Courier New"/>
          <w:sz w:val="32"/>
          <w:szCs w:val="32"/>
        </w:rPr>
      </w:pPr>
    </w:p>
    <w:p w14:paraId="0D53DA49" w14:textId="77777777" w:rsidR="006B781D" w:rsidRPr="00CE2280" w:rsidRDefault="00640F47" w:rsidP="006B781D">
      <w:pPr>
        <w:jc w:val="center"/>
        <w:rPr>
          <w:rFonts w:ascii="Courier" w:hAnsi="Courier" w:cs="Courier New"/>
          <w:sz w:val="24"/>
          <w:szCs w:val="24"/>
        </w:rPr>
      </w:pPr>
      <w:sdt>
        <w:sdtPr>
          <w:rPr>
            <w:rFonts w:ascii="Courier" w:hAnsi="Courier" w:cs="Courier New"/>
            <w:sz w:val="24"/>
            <w:szCs w:val="24"/>
          </w:rPr>
          <w:id w:val="263662374"/>
          <w:placeholder>
            <w:docPart w:val="A98B1F26B213224298E68A40F0C3F7FA"/>
          </w:placeholder>
          <w:text/>
        </w:sdtPr>
        <w:sdtContent>
          <w:r w:rsidR="00CE2280" w:rsidRPr="00CE2280">
            <w:rPr>
              <w:rFonts w:ascii="Courier" w:hAnsi="Courier" w:cs="Courier New"/>
              <w:sz w:val="24"/>
              <w:szCs w:val="24"/>
            </w:rPr>
            <w:t>[</w:t>
          </w:r>
          <w:r w:rsidR="00CE2280" w:rsidRPr="00CE2280">
            <w:rPr>
              <w:rFonts w:ascii="Courier" w:eastAsiaTheme="minorEastAsia" w:hAnsi="Courier"/>
              <w:sz w:val="24"/>
              <w:szCs w:val="24"/>
            </w:rPr>
            <w:t>Ensemble Predictions of the 2012 US Presidential Elections</w:t>
          </w:r>
          <w:r w:rsidR="00CE2280" w:rsidRPr="00CE2280">
            <w:rPr>
              <w:rFonts w:ascii="Courier" w:hAnsi="Courier" w:cs="Courier New"/>
              <w:sz w:val="24"/>
              <w:szCs w:val="24"/>
            </w:rPr>
            <w:t>]</w:t>
          </w:r>
        </w:sdtContent>
      </w:sdt>
    </w:p>
    <w:p w14:paraId="64E9D70B" w14:textId="77777777" w:rsidR="006B781D" w:rsidRPr="00A1142D" w:rsidRDefault="006B781D" w:rsidP="000F072C">
      <w:pPr>
        <w:jc w:val="center"/>
        <w:rPr>
          <w:rFonts w:ascii="Courier New" w:hAnsi="Courier New" w:cs="Courier New"/>
          <w:sz w:val="24"/>
          <w:szCs w:val="24"/>
        </w:rPr>
      </w:pPr>
    </w:p>
    <w:p w14:paraId="79EBA77F" w14:textId="77777777" w:rsidR="006B781D" w:rsidRPr="00A1142D" w:rsidRDefault="006B781D" w:rsidP="000F072C">
      <w:pPr>
        <w:jc w:val="center"/>
        <w:rPr>
          <w:rFonts w:ascii="Courier New" w:hAnsi="Courier New" w:cs="Courier New"/>
          <w:sz w:val="24"/>
          <w:szCs w:val="24"/>
        </w:rPr>
      </w:pPr>
    </w:p>
    <w:p w14:paraId="60859F8E" w14:textId="033059C9" w:rsidR="000B4891" w:rsidRDefault="00640F47" w:rsidP="000F072C">
      <w:pPr>
        <w:jc w:val="center"/>
        <w:rPr>
          <w:rFonts w:ascii="Courier New" w:hAnsi="Courier New" w:cs="Courier New"/>
          <w:sz w:val="24"/>
          <w:szCs w:val="24"/>
        </w:rPr>
      </w:pPr>
      <w:sdt>
        <w:sdtPr>
          <w:rPr>
            <w:rFonts w:ascii="Courier New" w:hAnsi="Courier New" w:cs="Courier New"/>
            <w:sz w:val="24"/>
            <w:szCs w:val="24"/>
          </w:rPr>
          <w:id w:val="263662376"/>
          <w:placeholder>
            <w:docPart w:val="A98B1F26B213224298E68A40F0C3F7FA"/>
          </w:placeholder>
          <w:text/>
        </w:sdtPr>
        <w:sdtContent>
          <w:r w:rsidR="00CE2280">
            <w:rPr>
              <w:rFonts w:ascii="Courier New" w:hAnsi="Courier New" w:cs="Courier New"/>
              <w:sz w:val="24"/>
              <w:szCs w:val="24"/>
            </w:rPr>
            <w:t xml:space="preserve">Jacob Montgomery, Washington University St Louis </w:t>
          </w:r>
          <w:r w:rsidR="00CE2280">
            <w:rPr>
              <w:rFonts w:ascii="Courier New" w:hAnsi="Courier New" w:cs="Courier New"/>
              <w:sz w:val="24"/>
              <w:szCs w:val="24"/>
            </w:rPr>
            <w:br/>
            <w:t xml:space="preserve">Florian </w:t>
          </w:r>
          <w:r w:rsidR="003938B5">
            <w:rPr>
              <w:rFonts w:ascii="Courier New" w:hAnsi="Courier New" w:cs="Courier New"/>
              <w:sz w:val="24"/>
              <w:szCs w:val="24"/>
            </w:rPr>
            <w:t xml:space="preserve">M. </w:t>
          </w:r>
          <w:r w:rsidR="00CE2280">
            <w:rPr>
              <w:rFonts w:ascii="Courier New" w:hAnsi="Courier New" w:cs="Courier New"/>
              <w:sz w:val="24"/>
              <w:szCs w:val="24"/>
            </w:rPr>
            <w:t xml:space="preserve">Hollenbach, Duke University </w:t>
          </w:r>
          <w:r w:rsidR="00CE2280">
            <w:rPr>
              <w:rFonts w:ascii="Courier New" w:hAnsi="Courier New" w:cs="Courier New"/>
              <w:sz w:val="24"/>
              <w:szCs w:val="24"/>
            </w:rPr>
            <w:br/>
            <w:t>Michael D. Ward, Duke University</w:t>
          </w:r>
        </w:sdtContent>
      </w:sdt>
    </w:p>
    <w:p w14:paraId="01470480" w14:textId="77777777" w:rsidR="00A1142D" w:rsidRDefault="00A1142D" w:rsidP="000F072C">
      <w:pPr>
        <w:jc w:val="center"/>
        <w:rPr>
          <w:rFonts w:ascii="Courier New" w:hAnsi="Courier New" w:cs="Courier New"/>
          <w:sz w:val="24"/>
          <w:szCs w:val="24"/>
        </w:rPr>
      </w:pPr>
    </w:p>
    <w:p w14:paraId="1C8443EC" w14:textId="77777777" w:rsidR="00A1142D" w:rsidRDefault="00A1142D" w:rsidP="000F072C">
      <w:pPr>
        <w:jc w:val="center"/>
        <w:rPr>
          <w:rFonts w:ascii="Courier New" w:hAnsi="Courier New" w:cs="Courier New"/>
          <w:sz w:val="24"/>
          <w:szCs w:val="24"/>
        </w:rPr>
      </w:pPr>
    </w:p>
    <w:p w14:paraId="192E68AA" w14:textId="77777777" w:rsidR="00A1142D" w:rsidRDefault="00A1142D" w:rsidP="000F072C">
      <w:pPr>
        <w:jc w:val="center"/>
        <w:rPr>
          <w:rFonts w:ascii="Courier New" w:hAnsi="Courier New" w:cs="Courier New"/>
          <w:sz w:val="24"/>
          <w:szCs w:val="24"/>
        </w:rPr>
      </w:pPr>
    </w:p>
    <w:p w14:paraId="2471FC04" w14:textId="77777777" w:rsidR="00DD6721" w:rsidRDefault="00DD6721" w:rsidP="000F072C">
      <w:pPr>
        <w:jc w:val="center"/>
        <w:rPr>
          <w:rFonts w:ascii="Courier New" w:hAnsi="Courier New" w:cs="Courier New"/>
          <w:sz w:val="24"/>
          <w:szCs w:val="24"/>
        </w:rPr>
      </w:pPr>
    </w:p>
    <w:p w14:paraId="67AC6916" w14:textId="05BE1143" w:rsidR="0065040B" w:rsidRDefault="00BF4936" w:rsidP="00CE2280">
      <w:pPr>
        <w:pStyle w:val="Manuscriptparagraph"/>
      </w:pPr>
      <w:r>
        <w:t>Since at least 1996</w:t>
      </w:r>
      <w:r w:rsidR="00C0462E">
        <w:t xml:space="preserve"> </w:t>
      </w:r>
      <w:r>
        <w:t xml:space="preserve">political scientists have been </w:t>
      </w:r>
      <w:r w:rsidR="007B53D4">
        <w:t>generating</w:t>
      </w:r>
      <w:r>
        <w:t xml:space="preserve"> true out-of-sample predictions of Presidential elections, and since the 2004 Presidential election this journal has presented comparisons of them, published prior to the election.  The spirit of these symposia has generally been to use the validation</w:t>
      </w:r>
      <w:r w:rsidR="007B53D4">
        <w:t xml:space="preserve"> provided by </w:t>
      </w:r>
      <w:r>
        <w:t xml:space="preserve">correct predictions to </w:t>
      </w:r>
      <w:r w:rsidR="007B53D4">
        <w:t xml:space="preserve">claim </w:t>
      </w:r>
      <w:r>
        <w:t xml:space="preserve">additional </w:t>
      </w:r>
      <w:r w:rsidR="0065040B">
        <w:t>support</w:t>
      </w:r>
      <w:r w:rsidR="007B53D4">
        <w:t xml:space="preserve"> for </w:t>
      </w:r>
      <w:r w:rsidR="005C58FB">
        <w:t>specific</w:t>
      </w:r>
      <w:r w:rsidR="0065040B">
        <w:t xml:space="preserve"> models</w:t>
      </w:r>
      <w:r w:rsidR="007B53D4">
        <w:t xml:space="preserve">.  That is, the underlying </w:t>
      </w:r>
      <w:r w:rsidR="00CB5CA3">
        <w:t>assertion</w:t>
      </w:r>
      <w:r w:rsidR="007B53D4">
        <w:t xml:space="preserve"> is that </w:t>
      </w:r>
      <w:r w:rsidR="0065040B">
        <w:t xml:space="preserve">models that are accurate </w:t>
      </w:r>
      <w:r w:rsidR="007B53D4">
        <w:t>out-of-sample</w:t>
      </w:r>
      <w:r w:rsidR="00640F47">
        <w:t>,</w:t>
      </w:r>
      <w:r w:rsidR="007B53D4">
        <w:t xml:space="preserve"> are understood to </w:t>
      </w:r>
      <w:r w:rsidR="0065040B">
        <w:t xml:space="preserve">capture the essential </w:t>
      </w:r>
      <w:r>
        <w:t xml:space="preserve">contexts and determinants of electoral behavior. </w:t>
      </w:r>
    </w:p>
    <w:p w14:paraId="60C2D465" w14:textId="03338327" w:rsidR="0065040B" w:rsidRDefault="00CB5CA3" w:rsidP="00CB5CA3">
      <w:pPr>
        <w:pStyle w:val="Manuscriptparagraph"/>
        <w:ind w:firstLine="720"/>
      </w:pPr>
      <w:r>
        <w:lastRenderedPageBreak/>
        <w:t>Thus, o</w:t>
      </w:r>
      <w:r w:rsidR="005C58FB">
        <w:t>ne</w:t>
      </w:r>
      <w:r w:rsidR="0065040B">
        <w:t xml:space="preserve"> aim of this exercise </w:t>
      </w:r>
      <w:r w:rsidR="00F8127A">
        <w:t xml:space="preserve">is to develop the </w:t>
      </w:r>
      <w:r w:rsidR="0065040B">
        <w:t>“</w:t>
      </w:r>
      <w:r w:rsidR="00F8127A">
        <w:t>best</w:t>
      </w:r>
      <w:r w:rsidR="0065040B">
        <w:t>”</w:t>
      </w:r>
      <w:r w:rsidR="00F8127A">
        <w:t xml:space="preserve"> model of the underlying data generating process. </w:t>
      </w:r>
      <w:r w:rsidR="005C58FB">
        <w:t xml:space="preserve">The main </w:t>
      </w:r>
      <w:r w:rsidR="00F8127A">
        <w:t>heuristic</w:t>
      </w:r>
      <w:r w:rsidR="005C58FB">
        <w:t>s</w:t>
      </w:r>
      <w:r w:rsidR="0065040B">
        <w:t xml:space="preserve"> for </w:t>
      </w:r>
      <w:r>
        <w:t>comparative</w:t>
      </w:r>
      <w:r w:rsidR="0065040B">
        <w:t xml:space="preserve"> evaluation</w:t>
      </w:r>
      <w:r w:rsidR="00F8127A">
        <w:t xml:space="preserve"> is how well </w:t>
      </w:r>
      <w:r>
        <w:t>each model does in</w:t>
      </w:r>
      <w:r w:rsidR="00F8127A">
        <w:t xml:space="preserve"> predicting the electoral results in upcomin</w:t>
      </w:r>
      <w:r w:rsidR="005C58FB">
        <w:t>g election</w:t>
      </w:r>
      <w:r>
        <w:t xml:space="preserve"> (with some attention given to each model’s</w:t>
      </w:r>
      <w:r w:rsidR="005C58FB">
        <w:t xml:space="preserve"> inherent plausibility, </w:t>
      </w:r>
      <w:r>
        <w:t xml:space="preserve">parsimony, and beauty). </w:t>
      </w:r>
      <w:r w:rsidR="00BF4936">
        <w:t>Different models are built with different insights. F</w:t>
      </w:r>
      <w:r w:rsidR="00F8127A">
        <w:t>or example, developed by Dougla</w:t>
      </w:r>
      <w:r w:rsidR="00BF4936">
        <w:t>s Hibbs</w:t>
      </w:r>
      <w:r w:rsidR="00BF4936" w:rsidRPr="00BF4936">
        <w:t xml:space="preserve">, </w:t>
      </w:r>
      <w:r w:rsidR="00BF4936" w:rsidRPr="00BF4936">
        <w:rPr>
          <w:rFonts w:cs="Arial"/>
          <w:bCs/>
        </w:rPr>
        <w:t>the 'Bread and Peace' model</w:t>
      </w:r>
      <w:r w:rsidR="00BF4936" w:rsidRPr="00BF4936">
        <w:rPr>
          <w:rFonts w:cs="Arial"/>
        </w:rPr>
        <w:t xml:space="preserve"> </w:t>
      </w:r>
      <w:r w:rsidR="00BF4936">
        <w:rPr>
          <w:rFonts w:cs="Arial"/>
        </w:rPr>
        <w:t xml:space="preserve">argues that the </w:t>
      </w:r>
      <w:r w:rsidR="00BF4936" w:rsidRPr="00BF4936">
        <w:rPr>
          <w:rFonts w:cs="Arial"/>
        </w:rPr>
        <w:t xml:space="preserve">aggregate votes for </w:t>
      </w:r>
      <w:r w:rsidR="00BF4936">
        <w:rPr>
          <w:rFonts w:cs="Arial"/>
        </w:rPr>
        <w:t xml:space="preserve">the </w:t>
      </w:r>
      <w:r w:rsidR="00BF4936" w:rsidRPr="00BF4936">
        <w:rPr>
          <w:rFonts w:cs="Arial"/>
        </w:rPr>
        <w:t>president in</w:t>
      </w:r>
      <w:r w:rsidR="00BF4936">
        <w:rPr>
          <w:rFonts w:cs="Arial"/>
        </w:rPr>
        <w:t xml:space="preserve"> postwar U.S. elections are well explained by just two fundamental determinants: (1) weighted-average growth of per capita real disposable personal income over the term, and (2) cumulative US military fatalities owing to unprovoked, hostile deployments of American armed forces in foreign wars</w:t>
      </w:r>
      <w:r w:rsidR="0065040B">
        <w:rPr>
          <w:rFonts w:cs="Arial"/>
        </w:rPr>
        <w:t xml:space="preserve"> (Citation 2012)</w:t>
      </w:r>
      <w:r>
        <w:rPr>
          <w:rFonts w:cs="Arial"/>
        </w:rPr>
        <w:t xml:space="preserve">.  </w:t>
      </w:r>
      <w:r w:rsidR="0065040B">
        <w:t xml:space="preserve">As another example, </w:t>
      </w:r>
      <w:r w:rsidR="0065040B" w:rsidRPr="00F8127A">
        <w:t>Alfred</w:t>
      </w:r>
      <w:r w:rsidR="0065040B">
        <w:t xml:space="preserve"> </w:t>
      </w:r>
      <w:r w:rsidR="0065040B" w:rsidRPr="00F8127A">
        <w:t>Cuzán</w:t>
      </w:r>
      <w:r w:rsidR="0065040B">
        <w:t xml:space="preserve"> focuses his models on the effects of fiscal expansion as a policy that is likely drive voters away from the incumbent and toward the challenger (Citation 2012).</w:t>
      </w:r>
    </w:p>
    <w:p w14:paraId="0F4EAA35" w14:textId="7BED5542" w:rsidR="00CB5CA3" w:rsidRDefault="00F8127A" w:rsidP="00CE2280">
      <w:pPr>
        <w:pStyle w:val="Manuscriptparagraph"/>
      </w:pPr>
      <w:r>
        <w:tab/>
        <w:t xml:space="preserve">Our approach is entirely different. Rather than search for the best model, </w:t>
      </w:r>
      <w:r w:rsidR="00CB5CA3">
        <w:t>theory, or conceptualization of electoral politics</w:t>
      </w:r>
      <w:r>
        <w:t xml:space="preserve">, we instead are looking </w:t>
      </w:r>
      <w:r w:rsidR="00E45533">
        <w:t xml:space="preserve">to create </w:t>
      </w:r>
      <w:r>
        <w:t>the best prediction</w:t>
      </w:r>
      <w:r w:rsidR="00E45533">
        <w:t xml:space="preserve"> by </w:t>
      </w:r>
      <w:r w:rsidR="00E83B88">
        <w:t>combining</w:t>
      </w:r>
      <w:r w:rsidR="00E45533">
        <w:t xml:space="preserve"> predictive models</w:t>
      </w:r>
      <w:r>
        <w:t xml:space="preserve">. </w:t>
      </w:r>
      <w:r w:rsidR="00CB5CA3">
        <w:t>Q</w:t>
      </w:r>
      <w:r>
        <w:t xml:space="preserve">uite simply we </w:t>
      </w:r>
      <w:r w:rsidR="00D00CD8">
        <w:t xml:space="preserve">want to </w:t>
      </w:r>
      <w:r w:rsidR="00CB5CA3">
        <w:t xml:space="preserve">make use of the </w:t>
      </w:r>
      <w:r w:rsidR="00FF0B51">
        <w:t>intuition</w:t>
      </w:r>
      <w:r w:rsidR="00CB5CA3">
        <w:t xml:space="preserve">, theories, and concepts implicit in all of </w:t>
      </w:r>
      <w:r w:rsidR="00FF0B51">
        <w:t>the forecasting models presented in this symposium</w:t>
      </w:r>
      <w:r w:rsidR="00CB5CA3">
        <w:t xml:space="preserve"> to make the</w:t>
      </w:r>
      <w:r w:rsidR="00D00CD8">
        <w:t xml:space="preserve"> most accurate out-of-sample predictions.  </w:t>
      </w:r>
      <w:r w:rsidR="00CB5CA3">
        <w:t xml:space="preserve">Without attempting to </w:t>
      </w:r>
      <w:r w:rsidR="00CB5CA3">
        <w:lastRenderedPageBreak/>
        <w:t xml:space="preserve">arbitrate between models and theories, our aim is </w:t>
      </w:r>
      <w:r w:rsidR="00FF0B51">
        <w:t>to</w:t>
      </w:r>
      <w:r w:rsidR="00CB5CA3">
        <w:t xml:space="preserve"> aggregat</w:t>
      </w:r>
      <w:r w:rsidR="00FF0B51">
        <w:t>e</w:t>
      </w:r>
      <w:r w:rsidR="00CB5CA3">
        <w:t xml:space="preserve"> </w:t>
      </w:r>
      <w:r w:rsidR="00E83B88">
        <w:t xml:space="preserve">them solely </w:t>
      </w:r>
      <w:r w:rsidR="00CB5CA3">
        <w:t xml:space="preserve">with an eye towards increasing our chances of getting </w:t>
      </w:r>
      <w:r w:rsidR="00FF0B51">
        <w:t>it right.</w:t>
      </w:r>
    </w:p>
    <w:p w14:paraId="6EEC4015" w14:textId="25136DB3" w:rsidR="00F8127A" w:rsidRDefault="00D00CD8" w:rsidP="00CB5CA3">
      <w:pPr>
        <w:pStyle w:val="Manuscriptparagraph"/>
        <w:ind w:firstLine="720"/>
      </w:pPr>
      <w:r>
        <w:t xml:space="preserve">To do this, without creating a new theory or introducing a new specification, we rely on the extant models. We believe that each of these models captures an important set of insights about US electoral behavior, and each has been rigorously tested not only statistically, but also via a predictive heuristic. Therefore, our approach will attempt to combine the insights of each model into a single predictive </w:t>
      </w:r>
      <w:r w:rsidR="00252BF2">
        <w:t xml:space="preserve">ensemble </w:t>
      </w:r>
      <w:r>
        <w:t xml:space="preserve">model. It doesn’t matter to our approach if one model </w:t>
      </w:r>
      <w:r w:rsidR="00AE0DFD">
        <w:t>“</w:t>
      </w:r>
      <w:r>
        <w:t>substantively</w:t>
      </w:r>
      <w:r w:rsidR="00AE0DFD">
        <w:t>”</w:t>
      </w:r>
      <w:r>
        <w:t xml:space="preserve"> refutes another. All that matters is that </w:t>
      </w:r>
      <w:r w:rsidR="00E83B88">
        <w:t xml:space="preserve">each </w:t>
      </w:r>
      <w:r>
        <w:t>provide</w:t>
      </w:r>
      <w:r w:rsidR="00E83B88">
        <w:t>s</w:t>
      </w:r>
      <w:r>
        <w:t xml:space="preserve"> pr</w:t>
      </w:r>
      <w:r w:rsidR="00FF0B51">
        <w:t xml:space="preserve">edictions </w:t>
      </w:r>
      <w:r w:rsidR="00E83B88">
        <w:t>for</w:t>
      </w:r>
      <w:r w:rsidR="00FF0B51">
        <w:t xml:space="preserve"> previous elections </w:t>
      </w:r>
      <w:r w:rsidR="00E83B88">
        <w:t>that</w:t>
      </w:r>
      <w:r w:rsidR="00FF0B51">
        <w:t xml:space="preserve"> we can </w:t>
      </w:r>
      <w:r w:rsidR="00E83B88">
        <w:t xml:space="preserve">use to </w:t>
      </w:r>
      <w:r w:rsidR="00FF0B51">
        <w:t>evaluate their accuracy.</w:t>
      </w:r>
    </w:p>
    <w:p w14:paraId="78635BA3" w14:textId="77777777" w:rsidR="00F8127A" w:rsidRDefault="00D00CD8" w:rsidP="00CE2280">
      <w:pPr>
        <w:pStyle w:val="Manuscriptparagraph"/>
      </w:pPr>
      <w:r>
        <w:tab/>
        <w:t>The approach we use is called “Ensemble Bayesian Model Averaging,” or EBMA. EBMA was developed recently in th</w:t>
      </w:r>
      <w:r w:rsidR="000B2F84">
        <w:t xml:space="preserve">e field of weather forecasting as a way of </w:t>
      </w:r>
      <w:r w:rsidR="00C2180B">
        <w:t xml:space="preserve">improving predictions by aggregating across models. Some weather models might be better at predicting “normal” weather patterns, and others better for rapidly changing conditions, for example. By averaging over these the overall prediction will be more accurate, even without having chosen the “best model.”  </w:t>
      </w:r>
    </w:p>
    <w:p w14:paraId="01FD9DD9" w14:textId="35DFF39E" w:rsidR="00611989" w:rsidRDefault="00C2180B" w:rsidP="00CE2280">
      <w:pPr>
        <w:pStyle w:val="Manuscriptparagraph"/>
      </w:pPr>
      <w:r>
        <w:tab/>
      </w:r>
      <w:r w:rsidR="008F149B">
        <w:t xml:space="preserve">EBMA uses the predictive performance of the included component models on some </w:t>
      </w:r>
      <w:r w:rsidR="00252BF2">
        <w:rPr>
          <w:i/>
        </w:rPr>
        <w:t>calibration</w:t>
      </w:r>
      <w:r w:rsidR="008F149B">
        <w:t xml:space="preserve"> period to generate a weight for each individual component model. The EBMA prediction is then </w:t>
      </w:r>
      <w:r w:rsidR="008F149B">
        <w:lastRenderedPageBreak/>
        <w:t xml:space="preserve">a kind of weighted average of the predictions made by </w:t>
      </w:r>
      <w:r w:rsidR="00BE2AA5">
        <w:t xml:space="preserve">each of </w:t>
      </w:r>
      <w:r w:rsidR="008F149B">
        <w:t>the component models.</w:t>
      </w:r>
      <w:r w:rsidR="00E83B88">
        <w:rPr>
          <w:rStyle w:val="FootnoteReference"/>
        </w:rPr>
        <w:footnoteReference w:id="1"/>
      </w:r>
      <w:r w:rsidR="003938B5">
        <w:t xml:space="preserve"> In particular</w:t>
      </w:r>
      <w:r w:rsidR="0058526D">
        <w:t>,</w:t>
      </w:r>
      <w:r w:rsidR="003938B5">
        <w:t xml:space="preserve"> the EBMA model will give more weight to models that have been more accurate in the </w:t>
      </w:r>
      <w:r w:rsidR="0058526D">
        <w:rPr>
          <w:i/>
        </w:rPr>
        <w:t>calibration</w:t>
      </w:r>
      <w:r w:rsidR="003938B5">
        <w:rPr>
          <w:i/>
        </w:rPr>
        <w:t xml:space="preserve"> </w:t>
      </w:r>
      <w:r w:rsidR="003938B5">
        <w:t>period, as well as those models that make more unique predictions.</w:t>
      </w:r>
      <w:r w:rsidR="003938B5">
        <w:rPr>
          <w:rStyle w:val="FootnoteReference"/>
        </w:rPr>
        <w:footnoteReference w:id="2"/>
      </w:r>
      <w:r w:rsidR="00D2686E">
        <w:t xml:space="preserve"> One strong advantage of EBM</w:t>
      </w:r>
      <w:r w:rsidR="00611989">
        <w:t>A is that it only requires each component’s predictions as input, but no</w:t>
      </w:r>
      <w:r w:rsidR="00AF2DF5">
        <w:t>t the model</w:t>
      </w:r>
      <w:r w:rsidR="0058526D">
        <w:t>’</w:t>
      </w:r>
      <w:r w:rsidR="00AF2DF5">
        <w:t xml:space="preserve">s </w:t>
      </w:r>
      <w:r w:rsidR="00611989">
        <w:t>covariates. It is thus possible to use forecasts</w:t>
      </w:r>
      <w:r w:rsidR="008F149B">
        <w:t xml:space="preserve"> </w:t>
      </w:r>
      <w:r w:rsidR="0058526D">
        <w:t xml:space="preserve">generated from any kind of process including </w:t>
      </w:r>
      <w:r w:rsidR="00611989">
        <w:t>subject experts</w:t>
      </w:r>
      <w:r w:rsidR="0058526D">
        <w:t>, classification trees, or</w:t>
      </w:r>
      <w:r w:rsidR="00BE2AA5">
        <w:t xml:space="preserve"> agent based models</w:t>
      </w:r>
      <w:r w:rsidR="00611989">
        <w:t xml:space="preserve">. </w:t>
      </w:r>
    </w:p>
    <w:p w14:paraId="7CA4EAA4" w14:textId="36D45839" w:rsidR="00DA652F" w:rsidRDefault="00611989" w:rsidP="00CE2280">
      <w:pPr>
        <w:pStyle w:val="Manuscriptparagraph"/>
      </w:pPr>
      <w:r>
        <w:tab/>
      </w:r>
      <w:r w:rsidR="00C2180B">
        <w:t>More technically, EBMA works in the following way.</w:t>
      </w:r>
      <w:r w:rsidR="00557C5B">
        <w:rPr>
          <w:rStyle w:val="FootnoteReference"/>
        </w:rPr>
        <w:footnoteReference w:id="3"/>
      </w:r>
      <w:r w:rsidR="00C2180B">
        <w:t xml:space="preserve"> </w:t>
      </w:r>
      <w:r w:rsidR="00557C5B">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w:t>
      </w:r>
      <w:r w:rsidR="00557C5B">
        <w:t xml:space="preserve">in the future </w:t>
      </w:r>
      <w:r w:rsidR="00DA652F">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Each component model comes from a prior distribu</w:t>
      </w:r>
      <w:r w:rsidR="00557C5B">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t xml:space="preserve"> </w:t>
      </w:r>
      <w:r w:rsidR="00DA652F">
        <w:t>in terms of its probability</w:t>
      </w:r>
      <w:r w:rsidR="000F58A5">
        <w:t xml:space="preserve"> density function (</w:t>
      </w:r>
      <w:r w:rsidR="00AE0DFD">
        <w:t>PDF</w:t>
      </w:r>
      <w:r w:rsidR="000F58A5">
        <w:t>)</w:t>
      </w:r>
      <w:r w:rsidR="00557C5B">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xml:space="preserve">. </w:t>
      </w:r>
      <w:r w:rsidR="00BE2AA5">
        <w:t>With the help of simple math and</w:t>
      </w:r>
      <w:r w:rsidR="00DA652F">
        <w:t xml:space="preserve"> Bayes’ rule</w:t>
      </w:r>
      <w:r w:rsidR="005B27F6">
        <w:t>,</w:t>
      </w:r>
      <w:r w:rsidR="00DA652F">
        <w:t xml:space="preserve"> it is then possible to </w:t>
      </w:r>
      <w:r w:rsidR="00DA652F">
        <w:lastRenderedPageBreak/>
        <w:t xml:space="preserve">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given the k predictive models.</w:t>
      </w:r>
    </w:p>
    <w:p w14:paraId="60C9952F" w14:textId="77777777" w:rsidR="00557C5B" w:rsidRDefault="00DA652F" w:rsidP="00CE2280">
      <w:pPr>
        <w:pStyle w:val="Manuscriptparagraph"/>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m:oMathPara>
    </w:p>
    <w:p w14:paraId="4F4E20D1" w14:textId="16736F6D" w:rsidR="00BE2AA5" w:rsidRDefault="00557C5B" w:rsidP="00CE2280">
      <w:pPr>
        <w:pStyle w:val="Manuscriptparagraph"/>
      </w:pPr>
      <w:r>
        <w:t>This</w:t>
      </w:r>
      <w:r w:rsidR="000F58A5">
        <w:t xml:space="preserve"> </w:t>
      </w:r>
      <w:r w:rsidR="00AE0DFD">
        <w:t>PDF</w:t>
      </w:r>
      <w: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dependent on the predictive performance in the training period prior to t*.</w:t>
      </w:r>
      <w:r w:rsidR="000F58A5">
        <w:t xml:space="preserve"> </w:t>
      </w:r>
    </w:p>
    <w:p w14:paraId="1D7C1F0E" w14:textId="673A14E6" w:rsidR="005B27F6" w:rsidRDefault="000F58A5" w:rsidP="005B27F6">
      <w:pPr>
        <w:pStyle w:val="Manuscriptparagraph"/>
        <w:ind w:firstLine="720"/>
      </w:pPr>
      <w:r>
        <w:t xml:space="preserve">Applying the EBMA to the example of presidential election forecasting, we use the in-sample predictions of each component model to calibrate the EBMA model. Thus we have </w:t>
      </w:r>
      <w:r w:rsidR="005B27F6">
        <w:t>11</w:t>
      </w:r>
      <w:r>
        <w:t xml:space="preserve"> forecasting models and a training period </w:t>
      </w:r>
      <w:r w:rsidR="0055107B">
        <w:t>of 16</w:t>
      </w:r>
      <w:r>
        <w:t xml:space="preserve"> p</w:t>
      </w:r>
      <w:r w:rsidR="005B27F6">
        <w:t>re</w:t>
      </w:r>
      <w:r w:rsidR="0055107B">
        <w:t>sidential elections (from 1948</w:t>
      </w:r>
      <w:r>
        <w:t xml:space="preserve"> to 2008). Our test period is the 2012 election. </w:t>
      </w:r>
    </w:p>
    <w:p w14:paraId="135F476C" w14:textId="6E89F671" w:rsidR="00F965E2" w:rsidRDefault="000F58A5" w:rsidP="005B27F6">
      <w:pPr>
        <w:pStyle w:val="Manuscriptparagraph"/>
        <w:ind w:firstLine="720"/>
      </w:pPr>
      <w:r>
        <w:t>Each forecasting model is associated with a p</w:t>
      </w:r>
      <w:r w:rsidR="00D37439">
        <w:t xml:space="preserve">robability </w:t>
      </w:r>
      <w:r>
        <w:t>d</w:t>
      </w:r>
      <w:r w:rsidR="00D37439">
        <w:t xml:space="preserve">ensity </w:t>
      </w:r>
      <w:r>
        <w:t>f</w:t>
      </w:r>
      <w:r w:rsidR="00D37439">
        <w:t>unction (</w:t>
      </w:r>
      <w:r w:rsidR="00AE0DFD">
        <w:t>PDF</w:t>
      </w:r>
      <w:r w:rsidR="00D37439">
        <w:t>)</w:t>
      </w:r>
      <w:r w:rsidR="00F965E2">
        <w:t>,</w:t>
      </w:r>
      <w:r>
        <w:t xml:space="preserve"> which is in our case a normal density function</w:t>
      </w:r>
      <w:r w:rsidR="00F965E2">
        <w:t xml:space="preserve"> centered at </w:t>
      </w:r>
      <w:r w:rsidR="005B27F6">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t,t*</m:t>
                </m:r>
              </m:sup>
            </m:sSubSup>
          </m:e>
        </m:d>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t>.</w:t>
      </w:r>
      <w:r>
        <w:t xml:space="preserve"> </w:t>
      </w:r>
      <w:r w:rsidR="00BE2AA5">
        <w:t>T</w:t>
      </w:r>
      <w:r w:rsidR="00DE6C2C">
        <w:t>he predictive distribution for observation y</w:t>
      </w:r>
      <w:r w:rsidR="00126EF7">
        <w:rPr>
          <w:vertAlign w:val="superscript"/>
        </w:rPr>
        <w:t>2012</w:t>
      </w:r>
      <w:r w:rsidR="00D67FB3">
        <w:t xml:space="preserve"> (or our forecast for 2012)</w:t>
      </w:r>
      <w:r w:rsidR="00DE6C2C">
        <w:t xml:space="preserve"> can be represented as the following</w:t>
      </w:r>
      <w:r w:rsidR="00126EF7">
        <w:t>,</w:t>
      </w:r>
    </w:p>
    <w:p w14:paraId="15AA5911" w14:textId="3CBBA0B0" w:rsidR="008F149B" w:rsidRPr="00D67FB3" w:rsidRDefault="00DE6C2C" w:rsidP="00BE2AA5">
      <w:pPr>
        <w:pStyle w:val="Manuscriptparagraph"/>
        <w:jc w:val="center"/>
      </w:pPr>
      <m:oMathPara>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m:oMathPara>
    </w:p>
    <w:p w14:paraId="6E270593" w14:textId="5608C850" w:rsidR="00D67FB3" w:rsidRPr="009F1F99" w:rsidRDefault="00126EF7" w:rsidP="009F1F99">
      <w:pPr>
        <w:pStyle w:val="Manuscriptparagrap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t xml:space="preserve"> represents the weight associated with each component </w:t>
      </w:r>
      <w:r w:rsidR="00D67FB3" w:rsidRPr="009F1F99">
        <w:t>model</w:t>
      </w:r>
      <w:r w:rsidR="00640F47" w:rsidRPr="009F1F99">
        <w:t xml:space="preserve">. Weights </w:t>
      </w:r>
      <w:r w:rsidR="00D67FB3" w:rsidRPr="009F1F99">
        <w:t xml:space="preserve">are estimated using maximum likelihood methods. </w:t>
      </w:r>
      <w:r w:rsidR="00A421D9" w:rsidRPr="009F1F99">
        <w:t xml:space="preserve">Given the estimated model weights for the EBMA model based on the training period, we can then create an EBMA prediction using the component model predictions. </w:t>
      </w:r>
    </w:p>
    <w:p w14:paraId="76259FCF" w14:textId="1BDA51BE" w:rsidR="00AE0DFD" w:rsidRPr="00292A64" w:rsidRDefault="001F5468" w:rsidP="00A13871">
      <w:pPr>
        <w:widowControl w:val="0"/>
        <w:autoSpaceDE w:val="0"/>
        <w:autoSpaceDN w:val="0"/>
        <w:adjustRightInd w:val="0"/>
        <w:spacing w:line="480" w:lineRule="auto"/>
        <w:rPr>
          <w:rFonts w:ascii="Courier New" w:hAnsi="Courier New" w:cs="Courier New"/>
          <w:sz w:val="24"/>
          <w:szCs w:val="24"/>
        </w:rPr>
      </w:pPr>
      <w:r w:rsidRPr="009F1F99">
        <w:rPr>
          <w:rFonts w:ascii="Courier New" w:hAnsi="Courier New" w:cs="Courier New"/>
          <w:sz w:val="24"/>
          <w:szCs w:val="24"/>
        </w:rPr>
        <w:lastRenderedPageBreak/>
        <w:t>The basic insight of this approach is that each component model in the ensemble captures some insight that yields predictions that are selectively accurate. Combining them and weighting them by their predictive success creates a sort of hyper model that in principle should be as good (in terms of predictive accuracy) as any individual model</w:t>
      </w:r>
      <w:r w:rsidR="00FD64D3" w:rsidRPr="009F1F99">
        <w:rPr>
          <w:rFonts w:ascii="Courier New" w:hAnsi="Courier New" w:cs="Courier New"/>
          <w:sz w:val="24"/>
          <w:szCs w:val="24"/>
        </w:rPr>
        <w:t>.  Across many elections</w:t>
      </w:r>
      <w:r w:rsidR="0055107B" w:rsidRPr="009F1F99">
        <w:rPr>
          <w:rFonts w:ascii="Courier New" w:hAnsi="Courier New" w:cs="Courier New"/>
          <w:sz w:val="24"/>
          <w:szCs w:val="24"/>
        </w:rPr>
        <w:t>,</w:t>
      </w:r>
      <w:r w:rsidRPr="009F1F99">
        <w:rPr>
          <w:rFonts w:ascii="Courier New" w:hAnsi="Courier New" w:cs="Courier New"/>
          <w:sz w:val="24"/>
          <w:szCs w:val="24"/>
        </w:rPr>
        <w:t xml:space="preserve"> it is likely that the </w:t>
      </w:r>
      <w:r w:rsidRPr="00A13871">
        <w:rPr>
          <w:rFonts w:ascii="Courier New" w:hAnsi="Courier New" w:cs="Courier New"/>
          <w:sz w:val="24"/>
          <w:szCs w:val="24"/>
        </w:rPr>
        <w:t>ensemble will</w:t>
      </w:r>
      <w:r w:rsidR="0055107B" w:rsidRPr="00A13871">
        <w:rPr>
          <w:rFonts w:ascii="Courier New" w:hAnsi="Courier New" w:cs="Courier New"/>
          <w:sz w:val="24"/>
          <w:szCs w:val="24"/>
        </w:rPr>
        <w:t xml:space="preserve"> also</w:t>
      </w:r>
      <w:r w:rsidRPr="00A13871">
        <w:rPr>
          <w:rFonts w:ascii="Courier New" w:hAnsi="Courier New" w:cs="Courier New"/>
          <w:sz w:val="24"/>
          <w:szCs w:val="24"/>
        </w:rPr>
        <w:t xml:space="preserve"> dominate each of its members. </w:t>
      </w:r>
      <w:r w:rsidR="00FD64D3" w:rsidRPr="00A13871">
        <w:rPr>
          <w:rFonts w:ascii="Courier New" w:hAnsi="Courier New" w:cs="Courier New"/>
          <w:sz w:val="24"/>
          <w:szCs w:val="24"/>
        </w:rPr>
        <w:t>Indeed, the method has been successfully applied i</w:t>
      </w:r>
      <w:r w:rsidR="00796350" w:rsidRPr="00A13871">
        <w:rPr>
          <w:rFonts w:ascii="Courier New" w:hAnsi="Courier New" w:cs="Courier New"/>
          <w:sz w:val="24"/>
          <w:szCs w:val="24"/>
        </w:rPr>
        <w:t>n a wide variety of settings</w:t>
      </w:r>
      <w:r w:rsidRPr="00A13871">
        <w:rPr>
          <w:rFonts w:ascii="Courier New" w:hAnsi="Courier New" w:cs="Courier New"/>
          <w:sz w:val="24"/>
          <w:szCs w:val="24"/>
        </w:rPr>
        <w:t xml:space="preserve"> </w:t>
      </w:r>
      <w:r w:rsidR="008341C7" w:rsidRPr="00A13871">
        <w:rPr>
          <w:rFonts w:ascii="Courier New" w:hAnsi="Courier New" w:cs="Courier New"/>
          <w:sz w:val="24"/>
          <w:szCs w:val="24"/>
        </w:rPr>
        <w:t>such as inflation</w:t>
      </w:r>
      <w:r w:rsidR="00640F47" w:rsidRPr="00A13871">
        <w:rPr>
          <w:rFonts w:ascii="Courier New" w:hAnsi="Courier New" w:cs="Courier New"/>
          <w:sz w:val="24"/>
          <w:szCs w:val="24"/>
        </w:rPr>
        <w:t xml:space="preserve"> </w:t>
      </w:r>
      <w:sdt>
        <w:sdtPr>
          <w:rPr>
            <w:rFonts w:ascii="Courier New" w:hAnsi="Courier New" w:cs="Courier New"/>
            <w:sz w:val="24"/>
            <w:szCs w:val="24"/>
          </w:rPr>
          <w:id w:val="-459257645"/>
          <w:citation/>
        </w:sdtPr>
        <w:sdtContent>
          <w:r w:rsidR="00A13871">
            <w:rPr>
              <w:rFonts w:ascii="Courier New" w:hAnsi="Courier New" w:cs="Courier New"/>
              <w:sz w:val="24"/>
              <w:szCs w:val="24"/>
            </w:rPr>
            <w:fldChar w:fldCharType="begin"/>
          </w:r>
          <w:r w:rsidR="006B4BCA">
            <w:rPr>
              <w:rFonts w:ascii="Courier New" w:hAnsi="Courier New" w:cs="Courier New"/>
              <w:bCs/>
              <w:color w:val="000000"/>
              <w:sz w:val="24"/>
              <w:szCs w:val="24"/>
            </w:rPr>
            <w:instrText xml:space="preserve">CITATION Jon09 \m Til10 \m Koo09 \l 1033 </w:instrText>
          </w:r>
          <w:r w:rsidR="00A13871">
            <w:rPr>
              <w:rFonts w:ascii="Courier New" w:hAnsi="Courier New" w:cs="Courier New"/>
              <w:sz w:val="24"/>
              <w:szCs w:val="24"/>
            </w:rPr>
            <w:fldChar w:fldCharType="separate"/>
          </w:r>
          <w:r w:rsidR="00CF5A06" w:rsidRPr="00CF5A06">
            <w:rPr>
              <w:rFonts w:ascii="Courier New" w:hAnsi="Courier New" w:cs="Courier New"/>
              <w:noProof/>
              <w:color w:val="000000"/>
              <w:sz w:val="24"/>
              <w:szCs w:val="24"/>
            </w:rPr>
            <w:t>(Wright, Forecasting US Inflation by Bayesian Model Averaging, 2009; Tilmann Gneiting, 2010; Gary Koop, 2009)</w:t>
          </w:r>
          <w:r w:rsidR="00A13871">
            <w:rPr>
              <w:rFonts w:ascii="Courier New" w:hAnsi="Courier New" w:cs="Courier New"/>
              <w:sz w:val="24"/>
              <w:szCs w:val="24"/>
            </w:rPr>
            <w:fldChar w:fldCharType="end"/>
          </w:r>
        </w:sdtContent>
      </w:sdt>
      <w:r w:rsidR="006B4BCA">
        <w:rPr>
          <w:rFonts w:ascii="Courier New" w:hAnsi="Courier New" w:cs="Courier New"/>
          <w:sz w:val="24"/>
          <w:szCs w:val="24"/>
        </w:rPr>
        <w:t>,</w:t>
      </w:r>
      <w:r w:rsidR="006B4BCA">
        <w:rPr>
          <w:rFonts w:ascii="Courier New" w:hAnsi="Courier New" w:cs="Courier New"/>
          <w:bCs/>
          <w:color w:val="000000"/>
          <w:sz w:val="24"/>
          <w:szCs w:val="24"/>
        </w:rPr>
        <w:t xml:space="preserve"> </w:t>
      </w:r>
      <w:r w:rsidR="008341C7" w:rsidRPr="00A13871">
        <w:rPr>
          <w:rFonts w:ascii="Courier New" w:hAnsi="Courier New" w:cs="Courier New"/>
          <w:sz w:val="24"/>
          <w:szCs w:val="24"/>
        </w:rPr>
        <w:t>economic growth</w:t>
      </w:r>
      <w:r w:rsidR="006B4BCA">
        <w:rPr>
          <w:rFonts w:ascii="Courier New" w:hAnsi="Courier New" w:cs="Courier New"/>
          <w:bCs/>
          <w:color w:val="000000"/>
          <w:sz w:val="24"/>
          <w:szCs w:val="24"/>
        </w:rPr>
        <w:t xml:space="preserve"> </w:t>
      </w:r>
      <w:sdt>
        <w:sdtPr>
          <w:rPr>
            <w:rFonts w:ascii="Courier New" w:hAnsi="Courier New" w:cs="Courier New"/>
            <w:bCs/>
            <w:color w:val="000000"/>
            <w:sz w:val="24"/>
            <w:szCs w:val="24"/>
          </w:rPr>
          <w:id w:val="-508215151"/>
          <w:citation/>
        </w:sdtPr>
        <w:sdtContent>
          <w:r w:rsidR="006B4BCA">
            <w:rPr>
              <w:rFonts w:ascii="Courier New" w:hAnsi="Courier New" w:cs="Courier New"/>
              <w:bCs/>
              <w:color w:val="000000"/>
              <w:sz w:val="24"/>
              <w:szCs w:val="24"/>
            </w:rPr>
            <w:fldChar w:fldCharType="begin"/>
          </w:r>
          <w:r w:rsidR="006B4BCA">
            <w:rPr>
              <w:rFonts w:ascii="Courier New" w:hAnsi="Courier New" w:cs="Courier New"/>
              <w:bCs/>
              <w:color w:val="000000"/>
              <w:sz w:val="24"/>
              <w:szCs w:val="24"/>
            </w:rPr>
            <w:instrText xml:space="preserve"> CITATION Bil \l 1033  \m Bro07</w:instrText>
          </w:r>
          <w:r w:rsidR="006B4BCA">
            <w:rPr>
              <w:rFonts w:ascii="Courier New" w:hAnsi="Courier New" w:cs="Courier New"/>
              <w:bCs/>
              <w:color w:val="000000"/>
              <w:sz w:val="24"/>
              <w:szCs w:val="24"/>
            </w:rPr>
            <w:fldChar w:fldCharType="separate"/>
          </w:r>
          <w:r w:rsidR="00CF5A06" w:rsidRPr="00CF5A06">
            <w:rPr>
              <w:rFonts w:ascii="Courier New" w:hAnsi="Courier New" w:cs="Courier New"/>
              <w:noProof/>
              <w:color w:val="000000"/>
              <w:sz w:val="24"/>
              <w:szCs w:val="24"/>
            </w:rPr>
            <w:t>(Monica Billio, 2010; William A. Brock, 2007)</w:t>
          </w:r>
          <w:r w:rsidR="006B4BCA">
            <w:rPr>
              <w:rFonts w:ascii="Courier New" w:hAnsi="Courier New" w:cs="Courier New"/>
              <w:bCs/>
              <w:color w:val="000000"/>
              <w:sz w:val="24"/>
              <w:szCs w:val="24"/>
            </w:rPr>
            <w:fldChar w:fldCharType="end"/>
          </w:r>
        </w:sdtContent>
      </w:sdt>
      <w:r w:rsidR="009F1F99" w:rsidRPr="00A13871">
        <w:rPr>
          <w:rFonts w:ascii="Courier New" w:hAnsi="Courier New" w:cs="Courier New"/>
          <w:bCs/>
          <w:color w:val="000000"/>
          <w:sz w:val="24"/>
          <w:szCs w:val="24"/>
        </w:rPr>
        <w:t>,</w:t>
      </w:r>
      <w:r w:rsidR="008341C7" w:rsidRPr="00A13871">
        <w:rPr>
          <w:rFonts w:ascii="Courier New" w:hAnsi="Courier New" w:cs="Courier New"/>
          <w:sz w:val="24"/>
          <w:szCs w:val="24"/>
        </w:rPr>
        <w:t xml:space="preserve"> exchange rates</w:t>
      </w:r>
      <w:sdt>
        <w:sdtPr>
          <w:rPr>
            <w:rFonts w:ascii="Courier New" w:hAnsi="Courier New" w:cs="Courier New"/>
            <w:sz w:val="24"/>
            <w:szCs w:val="24"/>
          </w:rPr>
          <w:id w:val="883302963"/>
          <w:citation/>
        </w:sdtPr>
        <w:sdtContent>
          <w:r w:rsidR="00A13871">
            <w:rPr>
              <w:rFonts w:ascii="Courier New" w:hAnsi="Courier New" w:cs="Courier New"/>
              <w:sz w:val="24"/>
              <w:szCs w:val="24"/>
            </w:rPr>
            <w:fldChar w:fldCharType="begin"/>
          </w:r>
          <w:r w:rsidR="006B4BCA">
            <w:rPr>
              <w:rFonts w:ascii="Courier New" w:hAnsi="Courier New" w:cs="Courier New"/>
              <w:sz w:val="24"/>
              <w:szCs w:val="24"/>
            </w:rPr>
            <w:instrText xml:space="preserve">CITATION Jon08 \l 1033 </w:instrText>
          </w:r>
          <w:r w:rsidR="00A13871">
            <w:rPr>
              <w:rFonts w:ascii="Courier New" w:hAnsi="Courier New" w:cs="Courier New"/>
              <w:sz w:val="24"/>
              <w:szCs w:val="24"/>
            </w:rPr>
            <w:fldChar w:fldCharType="separate"/>
          </w:r>
          <w:r w:rsidR="00CF5A06">
            <w:rPr>
              <w:rFonts w:ascii="Courier New" w:hAnsi="Courier New" w:cs="Courier New"/>
              <w:noProof/>
              <w:sz w:val="24"/>
              <w:szCs w:val="24"/>
            </w:rPr>
            <w:t xml:space="preserve"> </w:t>
          </w:r>
          <w:r w:rsidR="00CF5A06" w:rsidRPr="00CF5A06">
            <w:rPr>
              <w:rFonts w:ascii="Courier New" w:hAnsi="Courier New" w:cs="Courier New"/>
              <w:noProof/>
              <w:sz w:val="24"/>
              <w:szCs w:val="24"/>
            </w:rPr>
            <w:t>(Wright, Bayesian Model Averaging and Exchange Rate Forecasts, 2008)</w:t>
          </w:r>
          <w:r w:rsidR="00A13871">
            <w:rPr>
              <w:rFonts w:ascii="Courier New" w:hAnsi="Courier New" w:cs="Courier New"/>
              <w:sz w:val="24"/>
              <w:szCs w:val="24"/>
            </w:rPr>
            <w:fldChar w:fldCharType="end"/>
          </w:r>
        </w:sdtContent>
      </w:sdt>
      <w:r w:rsidR="008341C7" w:rsidRPr="00A13871">
        <w:rPr>
          <w:rFonts w:ascii="Courier New" w:hAnsi="Courier New" w:cs="Courier New"/>
          <w:sz w:val="24"/>
          <w:szCs w:val="24"/>
        </w:rPr>
        <w:t>, industrial production</w:t>
      </w:r>
      <w:sdt>
        <w:sdtPr>
          <w:rPr>
            <w:rFonts w:ascii="Courier New" w:hAnsi="Courier New" w:cs="Courier New"/>
            <w:sz w:val="24"/>
            <w:szCs w:val="24"/>
          </w:rPr>
          <w:id w:val="-383713003"/>
          <w:citation/>
        </w:sdtPr>
        <w:sdtContent>
          <w:r w:rsidR="006B4BCA">
            <w:rPr>
              <w:rFonts w:ascii="Courier New" w:hAnsi="Courier New" w:cs="Courier New"/>
              <w:sz w:val="24"/>
              <w:szCs w:val="24"/>
            </w:rPr>
            <w:fldChar w:fldCharType="begin"/>
          </w:r>
          <w:r w:rsidR="006B4BCA">
            <w:rPr>
              <w:rFonts w:ascii="Courier New" w:hAnsi="Courier New" w:cs="Courier New"/>
              <w:sz w:val="24"/>
              <w:szCs w:val="24"/>
            </w:rPr>
            <w:instrText xml:space="preserve"> CITATION Mar10 \l 1033 </w:instrText>
          </w:r>
          <w:r w:rsidR="006B4BCA">
            <w:rPr>
              <w:rFonts w:ascii="Courier New" w:hAnsi="Courier New" w:cs="Courier New"/>
              <w:sz w:val="24"/>
              <w:szCs w:val="24"/>
            </w:rPr>
            <w:fldChar w:fldCharType="separate"/>
          </w:r>
          <w:r w:rsidR="00CF5A06">
            <w:rPr>
              <w:rFonts w:ascii="Courier New" w:hAnsi="Courier New" w:cs="Courier New"/>
              <w:noProof/>
              <w:sz w:val="24"/>
              <w:szCs w:val="24"/>
            </w:rPr>
            <w:t xml:space="preserve"> </w:t>
          </w:r>
          <w:r w:rsidR="00CF5A06" w:rsidRPr="00CF5A06">
            <w:rPr>
              <w:rFonts w:ascii="Courier New" w:hAnsi="Courier New" w:cs="Courier New"/>
              <w:noProof/>
              <w:sz w:val="24"/>
              <w:szCs w:val="24"/>
            </w:rPr>
            <w:t>(Feldkircher, 2010)</w:t>
          </w:r>
          <w:r w:rsidR="006B4BCA">
            <w:rPr>
              <w:rFonts w:ascii="Courier New" w:hAnsi="Courier New" w:cs="Courier New"/>
              <w:sz w:val="24"/>
              <w:szCs w:val="24"/>
            </w:rPr>
            <w:fldChar w:fldCharType="end"/>
          </w:r>
        </w:sdtContent>
      </w:sdt>
      <w:r w:rsidR="008341C7" w:rsidRPr="00A13871">
        <w:rPr>
          <w:rFonts w:ascii="Courier New" w:hAnsi="Courier New" w:cs="Courier New"/>
          <w:sz w:val="24"/>
          <w:szCs w:val="24"/>
        </w:rPr>
        <w:t>, and weather</w:t>
      </w:r>
      <w:r w:rsidR="009F1F99" w:rsidRPr="00A13871">
        <w:rPr>
          <w:rFonts w:ascii="Courier New" w:hAnsi="Courier New" w:cs="Courier New"/>
          <w:sz w:val="24"/>
          <w:szCs w:val="24"/>
        </w:rPr>
        <w:t xml:space="preserve"> </w:t>
      </w:r>
      <w:sdt>
        <w:sdtPr>
          <w:rPr>
            <w:rFonts w:ascii="Courier New" w:hAnsi="Courier New" w:cs="Courier New"/>
            <w:sz w:val="24"/>
            <w:szCs w:val="24"/>
          </w:rPr>
          <w:id w:val="-636650217"/>
          <w:citation/>
        </w:sdtPr>
        <w:sdtContent>
          <w:r w:rsidR="00292A64">
            <w:rPr>
              <w:rFonts w:ascii="Courier New" w:hAnsi="Courier New" w:cs="Courier New"/>
              <w:sz w:val="24"/>
              <w:szCs w:val="24"/>
            </w:rPr>
            <w:fldChar w:fldCharType="begin"/>
          </w:r>
          <w:r w:rsidR="00292A64">
            <w:rPr>
              <w:rFonts w:ascii="Courier New" w:hAnsi="Courier New" w:cs="Courier New"/>
              <w:sz w:val="24"/>
              <w:szCs w:val="24"/>
            </w:rPr>
            <w:instrText xml:space="preserve"> CITATION Ric10 \l 1033  \m Raf05 \m Ver10</w:instrText>
          </w:r>
          <w:r w:rsidR="00292A64">
            <w:rPr>
              <w:rFonts w:ascii="Courier New" w:hAnsi="Courier New" w:cs="Courier New"/>
              <w:sz w:val="24"/>
              <w:szCs w:val="24"/>
            </w:rPr>
            <w:fldChar w:fldCharType="separate"/>
          </w:r>
          <w:r w:rsidR="00CF5A06" w:rsidRPr="00CF5A06">
            <w:rPr>
              <w:rFonts w:ascii="Courier New" w:hAnsi="Courier New" w:cs="Courier New"/>
              <w:noProof/>
              <w:sz w:val="24"/>
              <w:szCs w:val="24"/>
            </w:rPr>
            <w:t>(Richard M. Chmielecki, 2010; Raftery, 2005; Veronica J. Berrocal, 2010)</w:t>
          </w:r>
          <w:r w:rsidR="00292A64">
            <w:rPr>
              <w:rFonts w:ascii="Courier New" w:hAnsi="Courier New" w:cs="Courier New"/>
              <w:sz w:val="24"/>
              <w:szCs w:val="24"/>
            </w:rPr>
            <w:fldChar w:fldCharType="end"/>
          </w:r>
        </w:sdtContent>
      </w:sdt>
      <w:r w:rsidR="008341C7" w:rsidRPr="00A13871">
        <w:rPr>
          <w:rFonts w:ascii="Courier New" w:hAnsi="Courier New" w:cs="Courier New"/>
          <w:sz w:val="24"/>
          <w:szCs w:val="24"/>
        </w:rPr>
        <w:t>. Its</w:t>
      </w:r>
      <w:r w:rsidR="008341C7" w:rsidRPr="009F1F99">
        <w:rPr>
          <w:rFonts w:ascii="Courier New" w:hAnsi="Courier New" w:cs="Courier New"/>
          <w:sz w:val="24"/>
          <w:szCs w:val="24"/>
        </w:rPr>
        <w:t xml:space="preserve"> theoretical underpinnings, as well as its success in a variety of </w:t>
      </w:r>
      <w:r w:rsidR="00D37439" w:rsidRPr="009F1F99">
        <w:rPr>
          <w:rFonts w:ascii="Courier New" w:hAnsi="Courier New" w:cs="Courier New"/>
          <w:sz w:val="24"/>
          <w:szCs w:val="24"/>
        </w:rPr>
        <w:t>contexts</w:t>
      </w:r>
      <w:r w:rsidR="008341C7" w:rsidRPr="009F1F99">
        <w:rPr>
          <w:rFonts w:ascii="Courier New" w:hAnsi="Courier New" w:cs="Courier New"/>
          <w:sz w:val="24"/>
          <w:szCs w:val="24"/>
        </w:rPr>
        <w:t xml:space="preserve">, suggest it could be useful in predicting elections as well. </w:t>
      </w:r>
    </w:p>
    <w:p w14:paraId="502D06C3" w14:textId="77777777" w:rsidR="00AE0DFD" w:rsidRDefault="00AE0DFD">
      <w:pPr>
        <w:rPr>
          <w:rFonts w:ascii="Courier New" w:hAnsi="Courier New" w:cs="Courier New"/>
          <w:sz w:val="24"/>
          <w:szCs w:val="24"/>
        </w:rPr>
      </w:pPr>
      <w:r>
        <w:br w:type="page"/>
      </w:r>
    </w:p>
    <w:p w14:paraId="21D952D5" w14:textId="77777777" w:rsidR="001F5468" w:rsidRDefault="001F5468" w:rsidP="00A421D9">
      <w:pPr>
        <w:pStyle w:val="Manuscriptparagraph"/>
        <w:ind w:firstLine="720"/>
      </w:pPr>
    </w:p>
    <w:tbl>
      <w:tblPr>
        <w:tblW w:w="6060" w:type="dxa"/>
        <w:jc w:val="center"/>
        <w:tblInd w:w="93" w:type="dxa"/>
        <w:tblLook w:val="04A0" w:firstRow="1" w:lastRow="0" w:firstColumn="1" w:lastColumn="0" w:noHBand="0" w:noVBand="1"/>
      </w:tblPr>
      <w:tblGrid>
        <w:gridCol w:w="2738"/>
        <w:gridCol w:w="2089"/>
        <w:gridCol w:w="937"/>
        <w:gridCol w:w="937"/>
      </w:tblGrid>
      <w:tr w:rsidR="001D370D" w:rsidRPr="00AE0DFD" w14:paraId="58365875" w14:textId="77777777" w:rsidTr="001D370D">
        <w:trPr>
          <w:trHeight w:val="600"/>
          <w:jc w:val="center"/>
        </w:trPr>
        <w:tc>
          <w:tcPr>
            <w:tcW w:w="6060" w:type="dxa"/>
            <w:gridSpan w:val="4"/>
            <w:tcBorders>
              <w:top w:val="nil"/>
              <w:left w:val="nil"/>
              <w:bottom w:val="single" w:sz="8" w:space="0" w:color="auto"/>
              <w:right w:val="nil"/>
            </w:tcBorders>
            <w:shd w:val="clear" w:color="auto" w:fill="auto"/>
            <w:vAlign w:val="bottom"/>
            <w:hideMark/>
          </w:tcPr>
          <w:p w14:paraId="61F39209" w14:textId="77777777" w:rsidR="001D370D" w:rsidRPr="00AE0DFD" w:rsidRDefault="001D370D" w:rsidP="001D370D">
            <w:pPr>
              <w:rPr>
                <w:rFonts w:ascii="Courier New" w:hAnsi="Courier New" w:cs="Courier New"/>
                <w:i/>
                <w:iCs/>
                <w:color w:val="000000"/>
                <w:sz w:val="24"/>
                <w:szCs w:val="24"/>
              </w:rPr>
            </w:pPr>
            <w:r w:rsidRPr="00AE0DFD">
              <w:rPr>
                <w:rFonts w:ascii="Courier New" w:hAnsi="Courier New" w:cs="Courier New"/>
                <w:i/>
                <w:iCs/>
                <w:color w:val="000000"/>
                <w:sz w:val="24"/>
                <w:szCs w:val="24"/>
              </w:rPr>
              <w:t>Table 1: Ensemble weights and fit statistics for calibration-period performance (1948-2008)</w:t>
            </w:r>
          </w:p>
        </w:tc>
      </w:tr>
      <w:tr w:rsidR="001D370D" w:rsidRPr="00AE0DFD" w14:paraId="3B4893C8" w14:textId="77777777" w:rsidTr="001D370D">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 </w:t>
            </w:r>
          </w:p>
        </w:tc>
        <w:tc>
          <w:tcPr>
            <w:tcW w:w="1748" w:type="dxa"/>
            <w:tcBorders>
              <w:top w:val="nil"/>
              <w:left w:val="nil"/>
              <w:bottom w:val="single" w:sz="4" w:space="0" w:color="auto"/>
              <w:right w:val="nil"/>
            </w:tcBorders>
            <w:shd w:val="clear" w:color="auto" w:fill="auto"/>
            <w:vAlign w:val="bottom"/>
            <w:hideMark/>
          </w:tcPr>
          <w:p w14:paraId="01D12DF4" w14:textId="77777777" w:rsidR="001D370D" w:rsidRPr="00AE0DFD" w:rsidRDefault="001D370D" w:rsidP="00AE0DFD">
            <w:pPr>
              <w:ind w:left="720"/>
              <w:jc w:val="center"/>
              <w:rPr>
                <w:rFonts w:ascii="Courier New" w:hAnsi="Courier New" w:cs="Courier New"/>
                <w:color w:val="000000"/>
                <w:sz w:val="24"/>
                <w:szCs w:val="24"/>
              </w:rPr>
            </w:pPr>
            <w:r w:rsidRPr="00AE0DFD">
              <w:rPr>
                <w:rFonts w:ascii="Courier New" w:hAnsi="Courier New" w:cs="Courier New"/>
                <w:color w:val="000000"/>
                <w:sz w:val="24"/>
                <w:szCs w:val="24"/>
              </w:rPr>
              <w:t>Ensemble Weight</w:t>
            </w:r>
          </w:p>
        </w:tc>
        <w:tc>
          <w:tcPr>
            <w:tcW w:w="797" w:type="dxa"/>
            <w:tcBorders>
              <w:top w:val="nil"/>
              <w:left w:val="nil"/>
              <w:bottom w:val="single" w:sz="4" w:space="0" w:color="auto"/>
              <w:right w:val="nil"/>
            </w:tcBorders>
            <w:shd w:val="clear" w:color="auto" w:fill="auto"/>
            <w:noWrap/>
            <w:vAlign w:val="bottom"/>
            <w:hideMark/>
          </w:tcPr>
          <w:p w14:paraId="50DCA728"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RMSE</w:t>
            </w:r>
          </w:p>
        </w:tc>
        <w:tc>
          <w:tcPr>
            <w:tcW w:w="777" w:type="dxa"/>
            <w:tcBorders>
              <w:top w:val="nil"/>
              <w:left w:val="nil"/>
              <w:bottom w:val="single" w:sz="4" w:space="0" w:color="auto"/>
              <w:right w:val="nil"/>
            </w:tcBorders>
            <w:shd w:val="clear" w:color="auto" w:fill="auto"/>
            <w:noWrap/>
            <w:vAlign w:val="bottom"/>
            <w:hideMark/>
          </w:tcPr>
          <w:p w14:paraId="3C05883E"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MAE</w:t>
            </w:r>
          </w:p>
        </w:tc>
      </w:tr>
      <w:tr w:rsidR="001D370D" w:rsidRPr="00AE0DFD" w14:paraId="0A5C12FE"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Ensemble</w:t>
            </w:r>
          </w:p>
        </w:tc>
        <w:tc>
          <w:tcPr>
            <w:tcW w:w="1748" w:type="dxa"/>
            <w:tcBorders>
              <w:top w:val="nil"/>
              <w:left w:val="nil"/>
              <w:bottom w:val="nil"/>
              <w:right w:val="nil"/>
            </w:tcBorders>
            <w:shd w:val="clear" w:color="auto" w:fill="auto"/>
            <w:noWrap/>
            <w:vAlign w:val="bottom"/>
            <w:hideMark/>
          </w:tcPr>
          <w:p w14:paraId="21095E12" w14:textId="5039BF3F"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97" w:type="dxa"/>
            <w:tcBorders>
              <w:top w:val="nil"/>
              <w:left w:val="nil"/>
              <w:bottom w:val="nil"/>
              <w:right w:val="nil"/>
            </w:tcBorders>
            <w:shd w:val="clear" w:color="auto" w:fill="auto"/>
            <w:noWrap/>
            <w:vAlign w:val="bottom"/>
            <w:hideMark/>
          </w:tcPr>
          <w:p w14:paraId="7F6AA57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1.02</w:t>
            </w:r>
          </w:p>
        </w:tc>
        <w:tc>
          <w:tcPr>
            <w:tcW w:w="777" w:type="dxa"/>
            <w:tcBorders>
              <w:top w:val="nil"/>
              <w:left w:val="nil"/>
              <w:bottom w:val="nil"/>
              <w:right w:val="nil"/>
            </w:tcBorders>
            <w:shd w:val="clear" w:color="auto" w:fill="auto"/>
            <w:noWrap/>
            <w:vAlign w:val="bottom"/>
            <w:hideMark/>
          </w:tcPr>
          <w:p w14:paraId="395B9B2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0.808</w:t>
            </w:r>
          </w:p>
        </w:tc>
      </w:tr>
      <w:tr w:rsidR="001D370D" w:rsidRPr="00AE0DFD" w14:paraId="1681157B"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Abramowitz</w:t>
            </w:r>
          </w:p>
        </w:tc>
        <w:tc>
          <w:tcPr>
            <w:tcW w:w="1748" w:type="dxa"/>
            <w:tcBorders>
              <w:top w:val="nil"/>
              <w:left w:val="nil"/>
              <w:bottom w:val="nil"/>
              <w:right w:val="nil"/>
            </w:tcBorders>
            <w:shd w:val="clear" w:color="auto" w:fill="auto"/>
            <w:noWrap/>
            <w:vAlign w:val="bottom"/>
            <w:hideMark/>
          </w:tcPr>
          <w:p w14:paraId="11511735" w14:textId="526AA901"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97" w:type="dxa"/>
            <w:tcBorders>
              <w:top w:val="nil"/>
              <w:left w:val="nil"/>
              <w:bottom w:val="nil"/>
              <w:right w:val="nil"/>
            </w:tcBorders>
            <w:shd w:val="clear" w:color="auto" w:fill="auto"/>
            <w:noWrap/>
            <w:vAlign w:val="bottom"/>
            <w:hideMark/>
          </w:tcPr>
          <w:p w14:paraId="6EF4014D" w14:textId="60E27263"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77" w:type="dxa"/>
            <w:tcBorders>
              <w:top w:val="nil"/>
              <w:left w:val="nil"/>
              <w:bottom w:val="nil"/>
              <w:right w:val="nil"/>
            </w:tcBorders>
            <w:shd w:val="clear" w:color="auto" w:fill="auto"/>
            <w:noWrap/>
            <w:vAlign w:val="bottom"/>
            <w:hideMark/>
          </w:tcPr>
          <w:p w14:paraId="21E2D7E4" w14:textId="6A4B36CD"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r>
      <w:tr w:rsidR="001D370D" w:rsidRPr="00AE0DFD" w14:paraId="6F54B8ED"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Berry</w:t>
            </w:r>
          </w:p>
        </w:tc>
        <w:tc>
          <w:tcPr>
            <w:tcW w:w="1748" w:type="dxa"/>
            <w:tcBorders>
              <w:top w:val="nil"/>
              <w:left w:val="nil"/>
              <w:bottom w:val="nil"/>
              <w:right w:val="nil"/>
            </w:tcBorders>
            <w:shd w:val="clear" w:color="auto" w:fill="auto"/>
            <w:noWrap/>
            <w:vAlign w:val="bottom"/>
            <w:hideMark/>
          </w:tcPr>
          <w:p w14:paraId="37C4680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0.043</w:t>
            </w:r>
          </w:p>
        </w:tc>
        <w:tc>
          <w:tcPr>
            <w:tcW w:w="797" w:type="dxa"/>
            <w:tcBorders>
              <w:top w:val="nil"/>
              <w:left w:val="nil"/>
              <w:bottom w:val="nil"/>
              <w:right w:val="nil"/>
            </w:tcBorders>
            <w:shd w:val="clear" w:color="auto" w:fill="auto"/>
            <w:noWrap/>
            <w:vAlign w:val="bottom"/>
            <w:hideMark/>
          </w:tcPr>
          <w:p w14:paraId="04D6D67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1.260</w:t>
            </w:r>
          </w:p>
        </w:tc>
        <w:tc>
          <w:tcPr>
            <w:tcW w:w="777" w:type="dxa"/>
            <w:tcBorders>
              <w:top w:val="nil"/>
              <w:left w:val="nil"/>
              <w:bottom w:val="nil"/>
              <w:right w:val="nil"/>
            </w:tcBorders>
            <w:shd w:val="clear" w:color="auto" w:fill="auto"/>
            <w:noWrap/>
            <w:vAlign w:val="bottom"/>
            <w:hideMark/>
          </w:tcPr>
          <w:p w14:paraId="40ED6BFE"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1.099</w:t>
            </w:r>
          </w:p>
        </w:tc>
      </w:tr>
      <w:tr w:rsidR="001D370D" w:rsidRPr="00AE0DFD" w14:paraId="31919D78"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0474B25" w14:textId="6A6934FD"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Pr="00AE0DFD">
              <w:rPr>
                <w:rFonts w:ascii="Courier New" w:hAnsi="Courier New" w:cs="Courier New"/>
                <w:color w:val="000000"/>
                <w:sz w:val="24"/>
                <w:szCs w:val="24"/>
              </w:rPr>
              <w:t xml:space="preserve"> (Trial Heat)</w:t>
            </w:r>
          </w:p>
        </w:tc>
        <w:tc>
          <w:tcPr>
            <w:tcW w:w="1748" w:type="dxa"/>
            <w:tcBorders>
              <w:top w:val="nil"/>
              <w:left w:val="nil"/>
              <w:bottom w:val="nil"/>
              <w:right w:val="nil"/>
            </w:tcBorders>
            <w:shd w:val="clear" w:color="auto" w:fill="auto"/>
            <w:noWrap/>
            <w:vAlign w:val="bottom"/>
            <w:hideMark/>
          </w:tcPr>
          <w:p w14:paraId="6A1A85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0.284</w:t>
            </w:r>
          </w:p>
        </w:tc>
        <w:tc>
          <w:tcPr>
            <w:tcW w:w="797" w:type="dxa"/>
            <w:tcBorders>
              <w:top w:val="nil"/>
              <w:left w:val="nil"/>
              <w:bottom w:val="nil"/>
              <w:right w:val="nil"/>
            </w:tcBorders>
            <w:shd w:val="clear" w:color="auto" w:fill="auto"/>
            <w:noWrap/>
            <w:vAlign w:val="bottom"/>
            <w:hideMark/>
          </w:tcPr>
          <w:p w14:paraId="167CE51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1.610</w:t>
            </w:r>
          </w:p>
        </w:tc>
        <w:tc>
          <w:tcPr>
            <w:tcW w:w="777" w:type="dxa"/>
            <w:tcBorders>
              <w:top w:val="nil"/>
              <w:left w:val="nil"/>
              <w:bottom w:val="nil"/>
              <w:right w:val="nil"/>
            </w:tcBorders>
            <w:shd w:val="clear" w:color="auto" w:fill="auto"/>
            <w:noWrap/>
            <w:vAlign w:val="bottom"/>
            <w:hideMark/>
          </w:tcPr>
          <w:p w14:paraId="506E467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1.252</w:t>
            </w:r>
          </w:p>
        </w:tc>
      </w:tr>
      <w:tr w:rsidR="001D370D" w:rsidRPr="00AE0DFD" w14:paraId="42EF0100"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3A52C974" w14:textId="6122B90E"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Pr="00AE0DFD">
              <w:rPr>
                <w:rFonts w:ascii="Courier New" w:hAnsi="Courier New" w:cs="Courier New"/>
                <w:color w:val="000000"/>
                <w:sz w:val="24"/>
                <w:szCs w:val="24"/>
              </w:rPr>
              <w:t xml:space="preserve"> (Bump)</w:t>
            </w:r>
          </w:p>
        </w:tc>
        <w:tc>
          <w:tcPr>
            <w:tcW w:w="1748" w:type="dxa"/>
            <w:tcBorders>
              <w:top w:val="nil"/>
              <w:left w:val="nil"/>
              <w:bottom w:val="nil"/>
              <w:right w:val="nil"/>
            </w:tcBorders>
            <w:shd w:val="clear" w:color="auto" w:fill="auto"/>
            <w:noWrap/>
            <w:vAlign w:val="bottom"/>
            <w:hideMark/>
          </w:tcPr>
          <w:p w14:paraId="15073E36"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0.086</w:t>
            </w:r>
          </w:p>
        </w:tc>
        <w:tc>
          <w:tcPr>
            <w:tcW w:w="797" w:type="dxa"/>
            <w:tcBorders>
              <w:top w:val="nil"/>
              <w:left w:val="nil"/>
              <w:bottom w:val="nil"/>
              <w:right w:val="nil"/>
            </w:tcBorders>
            <w:shd w:val="clear" w:color="auto" w:fill="auto"/>
            <w:noWrap/>
            <w:vAlign w:val="bottom"/>
            <w:hideMark/>
          </w:tcPr>
          <w:p w14:paraId="51EA53A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1.740</w:t>
            </w:r>
          </w:p>
        </w:tc>
        <w:tc>
          <w:tcPr>
            <w:tcW w:w="777" w:type="dxa"/>
            <w:tcBorders>
              <w:top w:val="nil"/>
              <w:left w:val="nil"/>
              <w:bottom w:val="nil"/>
              <w:right w:val="nil"/>
            </w:tcBorders>
            <w:shd w:val="clear" w:color="auto" w:fill="auto"/>
            <w:noWrap/>
            <w:vAlign w:val="bottom"/>
            <w:hideMark/>
          </w:tcPr>
          <w:p w14:paraId="259792F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1.412</w:t>
            </w:r>
          </w:p>
        </w:tc>
      </w:tr>
      <w:tr w:rsidR="001D370D" w:rsidRPr="00AE0DFD" w14:paraId="3D4433C3"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AE0DFD" w:rsidRDefault="00AE0DFD" w:rsidP="001D370D">
            <w:pPr>
              <w:rPr>
                <w:rFonts w:ascii="Courier New" w:hAnsi="Courier New" w:cs="Courier New"/>
                <w:color w:val="000000"/>
                <w:sz w:val="24"/>
                <w:szCs w:val="24"/>
              </w:rPr>
            </w:pPr>
            <w:r w:rsidRPr="00AE0DFD">
              <w:rPr>
                <w:rFonts w:ascii="Courier New" w:hAnsi="Courier New" w:cs="Courier New"/>
              </w:rPr>
              <w:t>Cuzán</w:t>
            </w:r>
            <w:r w:rsidR="001D370D" w:rsidRPr="00AE0DFD">
              <w:rPr>
                <w:rFonts w:ascii="Courier New" w:hAnsi="Courier New" w:cs="Courier New"/>
                <w:color w:val="000000"/>
                <w:sz w:val="24"/>
                <w:szCs w:val="24"/>
              </w:rPr>
              <w:t xml:space="preserve"> 1</w:t>
            </w:r>
          </w:p>
        </w:tc>
        <w:tc>
          <w:tcPr>
            <w:tcW w:w="1748" w:type="dxa"/>
            <w:tcBorders>
              <w:top w:val="nil"/>
              <w:left w:val="nil"/>
              <w:bottom w:val="nil"/>
              <w:right w:val="nil"/>
            </w:tcBorders>
            <w:shd w:val="clear" w:color="auto" w:fill="auto"/>
            <w:noWrap/>
            <w:vAlign w:val="bottom"/>
            <w:hideMark/>
          </w:tcPr>
          <w:p w14:paraId="179DC5D7"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0.035</w:t>
            </w:r>
          </w:p>
        </w:tc>
        <w:tc>
          <w:tcPr>
            <w:tcW w:w="797" w:type="dxa"/>
            <w:tcBorders>
              <w:top w:val="nil"/>
              <w:left w:val="nil"/>
              <w:bottom w:val="nil"/>
              <w:right w:val="nil"/>
            </w:tcBorders>
            <w:shd w:val="clear" w:color="auto" w:fill="auto"/>
            <w:noWrap/>
            <w:vAlign w:val="bottom"/>
            <w:hideMark/>
          </w:tcPr>
          <w:p w14:paraId="1ABB8B0C"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2.300</w:t>
            </w:r>
          </w:p>
        </w:tc>
        <w:tc>
          <w:tcPr>
            <w:tcW w:w="777" w:type="dxa"/>
            <w:tcBorders>
              <w:top w:val="nil"/>
              <w:left w:val="nil"/>
              <w:bottom w:val="nil"/>
              <w:right w:val="nil"/>
            </w:tcBorders>
            <w:shd w:val="clear" w:color="auto" w:fill="auto"/>
            <w:noWrap/>
            <w:vAlign w:val="bottom"/>
            <w:hideMark/>
          </w:tcPr>
          <w:p w14:paraId="27D1F8D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1.751</w:t>
            </w:r>
          </w:p>
        </w:tc>
      </w:tr>
      <w:tr w:rsidR="001D370D" w:rsidRPr="00AE0DFD" w14:paraId="2514BECA"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AE0DFD" w:rsidRDefault="00AE0DFD" w:rsidP="001D370D">
            <w:pPr>
              <w:rPr>
                <w:rFonts w:ascii="Courier New" w:hAnsi="Courier New" w:cs="Courier New"/>
                <w:color w:val="000000"/>
                <w:sz w:val="24"/>
                <w:szCs w:val="24"/>
              </w:rPr>
            </w:pPr>
            <w:r w:rsidRPr="00AE0DFD">
              <w:rPr>
                <w:rFonts w:ascii="Courier New" w:hAnsi="Courier New" w:cs="Courier New"/>
              </w:rPr>
              <w:t>Cuzán</w:t>
            </w:r>
            <w:r w:rsidR="001D370D" w:rsidRPr="00AE0DFD">
              <w:rPr>
                <w:rFonts w:ascii="Courier New" w:hAnsi="Courier New" w:cs="Courier New"/>
                <w:color w:val="000000"/>
                <w:sz w:val="24"/>
                <w:szCs w:val="24"/>
              </w:rPr>
              <w:t xml:space="preserve"> 2</w:t>
            </w:r>
          </w:p>
        </w:tc>
        <w:tc>
          <w:tcPr>
            <w:tcW w:w="1748" w:type="dxa"/>
            <w:tcBorders>
              <w:top w:val="nil"/>
              <w:left w:val="nil"/>
              <w:bottom w:val="nil"/>
              <w:right w:val="nil"/>
            </w:tcBorders>
            <w:shd w:val="clear" w:color="auto" w:fill="auto"/>
            <w:noWrap/>
            <w:vAlign w:val="bottom"/>
            <w:hideMark/>
          </w:tcPr>
          <w:p w14:paraId="36E7558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0.406</w:t>
            </w:r>
          </w:p>
        </w:tc>
        <w:tc>
          <w:tcPr>
            <w:tcW w:w="797" w:type="dxa"/>
            <w:tcBorders>
              <w:top w:val="nil"/>
              <w:left w:val="nil"/>
              <w:bottom w:val="nil"/>
              <w:right w:val="nil"/>
            </w:tcBorders>
            <w:shd w:val="clear" w:color="auto" w:fill="auto"/>
            <w:noWrap/>
            <w:vAlign w:val="bottom"/>
            <w:hideMark/>
          </w:tcPr>
          <w:p w14:paraId="63CA27E3"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1.960</w:t>
            </w:r>
          </w:p>
        </w:tc>
        <w:tc>
          <w:tcPr>
            <w:tcW w:w="777" w:type="dxa"/>
            <w:tcBorders>
              <w:top w:val="nil"/>
              <w:left w:val="nil"/>
              <w:bottom w:val="nil"/>
              <w:right w:val="nil"/>
            </w:tcBorders>
            <w:shd w:val="clear" w:color="auto" w:fill="auto"/>
            <w:noWrap/>
            <w:vAlign w:val="bottom"/>
            <w:hideMark/>
          </w:tcPr>
          <w:p w14:paraId="5D6920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1.426</w:t>
            </w:r>
          </w:p>
        </w:tc>
      </w:tr>
      <w:tr w:rsidR="001D370D" w:rsidRPr="00AE0DFD" w14:paraId="265FC0E7"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Erikson-Wlezien</w:t>
            </w:r>
          </w:p>
        </w:tc>
        <w:tc>
          <w:tcPr>
            <w:tcW w:w="1748" w:type="dxa"/>
            <w:tcBorders>
              <w:top w:val="nil"/>
              <w:left w:val="nil"/>
              <w:bottom w:val="nil"/>
              <w:right w:val="nil"/>
            </w:tcBorders>
            <w:shd w:val="clear" w:color="auto" w:fill="auto"/>
            <w:noWrap/>
            <w:vAlign w:val="bottom"/>
            <w:hideMark/>
          </w:tcPr>
          <w:p w14:paraId="0D7EC930"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0.026</w:t>
            </w:r>
          </w:p>
        </w:tc>
        <w:tc>
          <w:tcPr>
            <w:tcW w:w="797" w:type="dxa"/>
            <w:tcBorders>
              <w:top w:val="nil"/>
              <w:left w:val="nil"/>
              <w:bottom w:val="nil"/>
              <w:right w:val="nil"/>
            </w:tcBorders>
            <w:shd w:val="clear" w:color="auto" w:fill="auto"/>
            <w:noWrap/>
            <w:vAlign w:val="bottom"/>
            <w:hideMark/>
          </w:tcPr>
          <w:p w14:paraId="53F8ED2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1.780</w:t>
            </w:r>
          </w:p>
        </w:tc>
        <w:tc>
          <w:tcPr>
            <w:tcW w:w="777" w:type="dxa"/>
            <w:tcBorders>
              <w:top w:val="nil"/>
              <w:left w:val="nil"/>
              <w:bottom w:val="nil"/>
              <w:right w:val="nil"/>
            </w:tcBorders>
            <w:shd w:val="clear" w:color="auto" w:fill="auto"/>
            <w:noWrap/>
            <w:vAlign w:val="bottom"/>
            <w:hideMark/>
          </w:tcPr>
          <w:p w14:paraId="0FAE221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1.568</w:t>
            </w:r>
          </w:p>
        </w:tc>
      </w:tr>
      <w:tr w:rsidR="001D370D" w:rsidRPr="00AE0DFD" w14:paraId="182C9F4C"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Hibbs</w:t>
            </w:r>
          </w:p>
        </w:tc>
        <w:tc>
          <w:tcPr>
            <w:tcW w:w="1748" w:type="dxa"/>
            <w:tcBorders>
              <w:top w:val="nil"/>
              <w:left w:val="nil"/>
              <w:bottom w:val="nil"/>
              <w:right w:val="nil"/>
            </w:tcBorders>
            <w:shd w:val="clear" w:color="auto" w:fill="auto"/>
            <w:noWrap/>
            <w:vAlign w:val="bottom"/>
            <w:hideMark/>
          </w:tcPr>
          <w:p w14:paraId="13EC99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797" w:type="dxa"/>
            <w:tcBorders>
              <w:top w:val="nil"/>
              <w:left w:val="nil"/>
              <w:bottom w:val="nil"/>
              <w:right w:val="nil"/>
            </w:tcBorders>
            <w:shd w:val="clear" w:color="auto" w:fill="auto"/>
            <w:noWrap/>
            <w:vAlign w:val="bottom"/>
            <w:hideMark/>
          </w:tcPr>
          <w:p w14:paraId="76CD979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2.810</w:t>
            </w:r>
          </w:p>
        </w:tc>
        <w:tc>
          <w:tcPr>
            <w:tcW w:w="777" w:type="dxa"/>
            <w:tcBorders>
              <w:top w:val="nil"/>
              <w:left w:val="nil"/>
              <w:bottom w:val="nil"/>
              <w:right w:val="nil"/>
            </w:tcBorders>
            <w:shd w:val="clear" w:color="auto" w:fill="auto"/>
            <w:noWrap/>
            <w:vAlign w:val="bottom"/>
            <w:hideMark/>
          </w:tcPr>
          <w:p w14:paraId="483E46B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2.240</w:t>
            </w:r>
          </w:p>
        </w:tc>
      </w:tr>
      <w:tr w:rsidR="001D370D" w:rsidRPr="00AE0DFD" w14:paraId="20202FD1"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Holbrook</w:t>
            </w:r>
          </w:p>
        </w:tc>
        <w:tc>
          <w:tcPr>
            <w:tcW w:w="1748" w:type="dxa"/>
            <w:tcBorders>
              <w:top w:val="nil"/>
              <w:left w:val="nil"/>
              <w:bottom w:val="nil"/>
              <w:right w:val="nil"/>
            </w:tcBorders>
            <w:shd w:val="clear" w:color="auto" w:fill="auto"/>
            <w:noWrap/>
            <w:vAlign w:val="bottom"/>
            <w:hideMark/>
          </w:tcPr>
          <w:p w14:paraId="1604D46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0.121</w:t>
            </w:r>
          </w:p>
        </w:tc>
        <w:tc>
          <w:tcPr>
            <w:tcW w:w="797" w:type="dxa"/>
            <w:tcBorders>
              <w:top w:val="nil"/>
              <w:left w:val="nil"/>
              <w:bottom w:val="nil"/>
              <w:right w:val="nil"/>
            </w:tcBorders>
            <w:shd w:val="clear" w:color="auto" w:fill="auto"/>
            <w:noWrap/>
            <w:vAlign w:val="bottom"/>
            <w:hideMark/>
          </w:tcPr>
          <w:p w14:paraId="52544D1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2.140</w:t>
            </w:r>
          </w:p>
        </w:tc>
        <w:tc>
          <w:tcPr>
            <w:tcW w:w="777" w:type="dxa"/>
            <w:tcBorders>
              <w:top w:val="nil"/>
              <w:left w:val="nil"/>
              <w:bottom w:val="nil"/>
              <w:right w:val="nil"/>
            </w:tcBorders>
            <w:shd w:val="clear" w:color="auto" w:fill="auto"/>
            <w:noWrap/>
            <w:vAlign w:val="bottom"/>
            <w:hideMark/>
          </w:tcPr>
          <w:p w14:paraId="071DDFD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1.734</w:t>
            </w:r>
          </w:p>
        </w:tc>
      </w:tr>
      <w:tr w:rsidR="001D370D" w:rsidRPr="00AE0DFD" w14:paraId="404ED926"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DD72511"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Klarner</w:t>
            </w:r>
          </w:p>
        </w:tc>
        <w:tc>
          <w:tcPr>
            <w:tcW w:w="1748" w:type="dxa"/>
            <w:tcBorders>
              <w:top w:val="nil"/>
              <w:left w:val="nil"/>
              <w:bottom w:val="nil"/>
              <w:right w:val="nil"/>
            </w:tcBorders>
            <w:shd w:val="clear" w:color="auto" w:fill="auto"/>
            <w:noWrap/>
            <w:vAlign w:val="bottom"/>
            <w:hideMark/>
          </w:tcPr>
          <w:p w14:paraId="11B5C33D" w14:textId="77777777" w:rsidR="001D370D" w:rsidRPr="00AE0DFD" w:rsidRDefault="001D370D" w:rsidP="001D370D">
            <w:pPr>
              <w:rPr>
                <w:rFonts w:ascii="Courier New" w:hAnsi="Courier New" w:cs="Courier New"/>
                <w:color w:val="000000"/>
                <w:sz w:val="24"/>
                <w:szCs w:val="24"/>
              </w:rPr>
            </w:pPr>
          </w:p>
        </w:tc>
        <w:tc>
          <w:tcPr>
            <w:tcW w:w="797" w:type="dxa"/>
            <w:tcBorders>
              <w:top w:val="nil"/>
              <w:left w:val="nil"/>
              <w:bottom w:val="nil"/>
              <w:right w:val="nil"/>
            </w:tcBorders>
            <w:shd w:val="clear" w:color="auto" w:fill="auto"/>
            <w:noWrap/>
            <w:vAlign w:val="bottom"/>
            <w:hideMark/>
          </w:tcPr>
          <w:p w14:paraId="050FA845" w14:textId="77777777" w:rsidR="001D370D" w:rsidRPr="00AE0DFD" w:rsidRDefault="001D370D" w:rsidP="001D370D">
            <w:pPr>
              <w:rPr>
                <w:rFonts w:ascii="Courier New" w:hAnsi="Courier New" w:cs="Courier New"/>
                <w:color w:val="000000"/>
                <w:sz w:val="24"/>
                <w:szCs w:val="24"/>
              </w:rPr>
            </w:pPr>
          </w:p>
        </w:tc>
        <w:tc>
          <w:tcPr>
            <w:tcW w:w="777" w:type="dxa"/>
            <w:tcBorders>
              <w:top w:val="nil"/>
              <w:left w:val="nil"/>
              <w:bottom w:val="nil"/>
              <w:right w:val="nil"/>
            </w:tcBorders>
            <w:shd w:val="clear" w:color="auto" w:fill="auto"/>
            <w:noWrap/>
            <w:vAlign w:val="bottom"/>
            <w:hideMark/>
          </w:tcPr>
          <w:p w14:paraId="44B71FE1" w14:textId="77777777" w:rsidR="001D370D" w:rsidRPr="00AE0DFD" w:rsidRDefault="001D370D" w:rsidP="001D370D">
            <w:pPr>
              <w:rPr>
                <w:rFonts w:ascii="Courier New" w:hAnsi="Courier New" w:cs="Courier New"/>
                <w:color w:val="000000"/>
                <w:sz w:val="24"/>
                <w:szCs w:val="24"/>
              </w:rPr>
            </w:pPr>
          </w:p>
        </w:tc>
      </w:tr>
      <w:tr w:rsidR="001D370D" w:rsidRPr="00AE0DFD" w14:paraId="1B696351" w14:textId="77777777" w:rsidTr="001D370D">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Lockerbie</w:t>
            </w:r>
          </w:p>
        </w:tc>
        <w:tc>
          <w:tcPr>
            <w:tcW w:w="1748" w:type="dxa"/>
            <w:tcBorders>
              <w:top w:val="nil"/>
              <w:left w:val="nil"/>
              <w:bottom w:val="single" w:sz="8" w:space="0" w:color="auto"/>
              <w:right w:val="nil"/>
            </w:tcBorders>
            <w:shd w:val="clear" w:color="auto" w:fill="auto"/>
            <w:noWrap/>
            <w:vAlign w:val="bottom"/>
            <w:hideMark/>
          </w:tcPr>
          <w:p w14:paraId="4BDDF4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797" w:type="dxa"/>
            <w:tcBorders>
              <w:top w:val="nil"/>
              <w:left w:val="nil"/>
              <w:bottom w:val="single" w:sz="8" w:space="0" w:color="auto"/>
              <w:right w:val="nil"/>
            </w:tcBorders>
            <w:shd w:val="clear" w:color="auto" w:fill="auto"/>
            <w:noWrap/>
            <w:vAlign w:val="bottom"/>
            <w:hideMark/>
          </w:tcPr>
          <w:p w14:paraId="1CF61ED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3.940</w:t>
            </w:r>
          </w:p>
        </w:tc>
        <w:tc>
          <w:tcPr>
            <w:tcW w:w="777" w:type="dxa"/>
            <w:tcBorders>
              <w:top w:val="nil"/>
              <w:left w:val="nil"/>
              <w:bottom w:val="single" w:sz="8" w:space="0" w:color="auto"/>
              <w:right w:val="nil"/>
            </w:tcBorders>
            <w:shd w:val="clear" w:color="auto" w:fill="auto"/>
            <w:noWrap/>
            <w:vAlign w:val="bottom"/>
            <w:hideMark/>
          </w:tcPr>
          <w:p w14:paraId="290AB909"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3.329</w:t>
            </w:r>
          </w:p>
        </w:tc>
      </w:tr>
      <w:tr w:rsidR="001D370D" w:rsidRPr="00AE0DFD" w14:paraId="54BD7DDB" w14:textId="77777777" w:rsidTr="001D370D">
        <w:trPr>
          <w:trHeight w:val="1920"/>
          <w:jc w:val="center"/>
        </w:trPr>
        <w:tc>
          <w:tcPr>
            <w:tcW w:w="6060" w:type="dxa"/>
            <w:gridSpan w:val="4"/>
            <w:tcBorders>
              <w:top w:val="single" w:sz="8" w:space="0" w:color="auto"/>
              <w:left w:val="nil"/>
              <w:bottom w:val="nil"/>
              <w:right w:val="nil"/>
            </w:tcBorders>
            <w:shd w:val="clear" w:color="auto" w:fill="auto"/>
            <w:vAlign w:val="bottom"/>
            <w:hideMark/>
          </w:tcPr>
          <w:p w14:paraId="3513D41F" w14:textId="4FF39F79" w:rsidR="001D370D" w:rsidRPr="00AE0DFD" w:rsidRDefault="001D370D" w:rsidP="00AE0DFD">
            <w:pPr>
              <w:spacing w:line="480" w:lineRule="auto"/>
              <w:rPr>
                <w:rFonts w:ascii="Courier New" w:hAnsi="Courier New" w:cs="Courier New"/>
                <w:i/>
                <w:iCs/>
                <w:color w:val="000000"/>
                <w:sz w:val="24"/>
                <w:szCs w:val="24"/>
              </w:rPr>
            </w:pPr>
            <w:r w:rsidRPr="00AE0DFD">
              <w:rPr>
                <w:rFonts w:ascii="Courier New" w:hAnsi="Courier New" w:cs="Courier New"/>
                <w:i/>
                <w:iCs/>
                <w:color w:val="000000"/>
                <w:sz w:val="24"/>
                <w:szCs w:val="24"/>
              </w:rPr>
              <w:t>The first column shows the weight assigned each component model in the final ensemble.  The other col</w:t>
            </w:r>
            <w:r w:rsidR="00AE0DFD" w:rsidRPr="00AE0DFD">
              <w:rPr>
                <w:rFonts w:ascii="Courier New" w:hAnsi="Courier New" w:cs="Courier New"/>
                <w:i/>
                <w:iCs/>
                <w:color w:val="000000"/>
                <w:sz w:val="24"/>
                <w:szCs w:val="24"/>
              </w:rPr>
              <w:t>u</w:t>
            </w:r>
            <w:r w:rsidRPr="00AE0DFD">
              <w:rPr>
                <w:rFonts w:ascii="Courier New" w:hAnsi="Courier New"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Default="001D370D" w:rsidP="001D370D">
      <w:pPr>
        <w:pStyle w:val="Manuscriptparagraph"/>
        <w:ind w:firstLine="720"/>
        <w:jc w:val="center"/>
      </w:pPr>
    </w:p>
    <w:p w14:paraId="5F538C3C" w14:textId="77777777" w:rsidR="001D370D" w:rsidRDefault="001D370D" w:rsidP="00A421D9">
      <w:pPr>
        <w:pStyle w:val="Manuscriptparagraph"/>
        <w:ind w:firstLine="720"/>
      </w:pPr>
    </w:p>
    <w:p w14:paraId="002A9BB3" w14:textId="20D7F86A" w:rsidR="00A421D9" w:rsidRPr="00BE2AA5" w:rsidRDefault="00A421D9" w:rsidP="00D67FB3">
      <w:pPr>
        <w:pStyle w:val="Manuscriptparagraph"/>
      </w:pPr>
      <w:r>
        <w:tab/>
        <w:t xml:space="preserve">Table </w:t>
      </w:r>
      <w:r w:rsidR="00FD64D3">
        <w:t>1</w:t>
      </w:r>
      <w:r>
        <w:t xml:space="preserve"> shows the EBMA model statistics for the in-sample period. It shows the </w:t>
      </w:r>
      <w:r w:rsidR="00796350">
        <w:t xml:space="preserve">estimated </w:t>
      </w:r>
      <w:r>
        <w:t>weights for each individual model, as well a</w:t>
      </w:r>
      <w:r w:rsidR="00796350">
        <w:t xml:space="preserve">s the Root Mean Squared Error (RMSE) and Mean </w:t>
      </w:r>
      <w:r w:rsidR="00796350">
        <w:lastRenderedPageBreak/>
        <w:t>Average Error (</w:t>
      </w:r>
      <w:r w:rsidR="00A503A4">
        <w:t>MAE) for the in-sample period spanning the post-war era.</w:t>
      </w:r>
      <w:r w:rsidR="007F4012">
        <w:t xml:space="preserve">  Almost all of the component models receive some weight in the final ensemble, although the weights are far from uniform.  The highest weighted model is Cuzan’s </w:t>
      </w:r>
      <w:r w:rsidR="00AE0DFD">
        <w:t>which suggests that a</w:t>
      </w:r>
      <w:r w:rsidR="00AE0DFD" w:rsidRPr="00AE0DFD">
        <w:t xml:space="preserve"> fiscally expansionary policy, even controlling for Fair's variables measuring economic growth, time in office, and party, costs the incumbent party candidate an average of four perce</w:t>
      </w:r>
      <w:r w:rsidR="00AE0DFD">
        <w:t>nt points of the two-party vote</w:t>
      </w:r>
      <w:r w:rsidR="007F4012">
        <w:t>. In contrast, EBMA entirely excludes the Hibbs and Lockerbie models.</w:t>
      </w:r>
      <w:r w:rsidR="001D370D">
        <w:t xml:space="preserve"> This should not be interpreted to indicate that some models are “better”, but only that the EBMA procedure found this mix to provide the highest rate of in-sample predictive accuracy.</w:t>
      </w:r>
    </w:p>
    <w:p w14:paraId="46BA36D8" w14:textId="14B13054" w:rsidR="00BE2AA5" w:rsidRDefault="001D370D" w:rsidP="00BE2AA5">
      <w:pPr>
        <w:pStyle w:val="Manuscriptparagraph"/>
      </w:pPr>
      <w:r>
        <w:tab/>
        <w:t xml:space="preserve">A visual representation of the kinds of predictive </w:t>
      </w:r>
      <w:r w:rsidR="00AE0DFD">
        <w:t>PDF</w:t>
      </w:r>
      <w:r>
        <w:t>s generated by EBMA is provided in Figure 1.  Here we see … and I’m spent.</w:t>
      </w:r>
    </w:p>
    <w:p w14:paraId="54A08168" w14:textId="77777777" w:rsidR="001D370D" w:rsidRDefault="001D370D" w:rsidP="00BE2AA5">
      <w:pPr>
        <w:pStyle w:val="Manuscriptparagraph"/>
      </w:pPr>
    </w:p>
    <w:p w14:paraId="496F79D4" w14:textId="1133D380" w:rsidR="00CF5666" w:rsidRDefault="001D370D" w:rsidP="00BE2AA5">
      <w:pPr>
        <w:pStyle w:val="Manuscriptparagraph"/>
      </w:pPr>
      <w:r>
        <w:t>Witty concluding paragraph here.</w:t>
      </w:r>
      <w:r w:rsidR="00AE0DFD">
        <w:t xml:space="preserve"> Thank you and good night!  Don’t forget to tip your servers.  </w:t>
      </w:r>
    </w:p>
    <w:p w14:paraId="54A1A589" w14:textId="77777777" w:rsidR="00CF5666" w:rsidRDefault="00CF5666" w:rsidP="00BE2AA5">
      <w:pPr>
        <w:pStyle w:val="Manuscriptparagraph"/>
      </w:pPr>
    </w:p>
    <w:p w14:paraId="75E8EA7E" w14:textId="77777777" w:rsidR="007F4012" w:rsidRDefault="007F4012" w:rsidP="00BE2AA5">
      <w:pPr>
        <w:pStyle w:val="Manuscriptparagraph"/>
      </w:pPr>
    </w:p>
    <w:p w14:paraId="0378D106" w14:textId="77777777" w:rsidR="007F4012" w:rsidRDefault="007F4012" w:rsidP="00BE2AA5">
      <w:pPr>
        <w:pStyle w:val="Manuscriptparagraph"/>
      </w:pPr>
    </w:p>
    <w:p w14:paraId="4CF7805C" w14:textId="49D02ADC" w:rsidR="007F4012" w:rsidRDefault="007F4012" w:rsidP="00BE2AA5">
      <w:pPr>
        <w:pStyle w:val="Manuscriptparagraph"/>
      </w:pPr>
      <w:r>
        <w:t xml:space="preserve">Figure 1: EBMA posterior distributions for the 2004 and 2008 Elections (in-sample).  </w:t>
      </w:r>
    </w:p>
    <w:p w14:paraId="43278F42" w14:textId="1C106AEC" w:rsidR="008F149B" w:rsidRDefault="00CF5666" w:rsidP="007F4012">
      <w:pPr>
        <w:pStyle w:val="Manuscriptparagraph"/>
        <w:jc w:val="center"/>
      </w:pPr>
      <w:r>
        <w:rPr>
          <w:noProof/>
        </w:rPr>
        <w:lastRenderedPageBreak/>
        <w:drawing>
          <wp:inline distT="0" distB="0" distL="0" distR="0" wp14:anchorId="268860A4" wp14:editId="479E397E">
            <wp:extent cx="4572000" cy="5494655"/>
            <wp:effectExtent l="0" t="0" r="0" b="0"/>
            <wp:docPr id="1"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p>
    <w:p w14:paraId="03B1D075" w14:textId="65D900E7" w:rsidR="00211DE5" w:rsidRPr="00A85A47" w:rsidRDefault="00A85A47" w:rsidP="00CE2280">
      <w:pPr>
        <w:pStyle w:val="Manuscriptparagraph"/>
        <w:rPr>
          <w:sz w:val="20"/>
          <w:szCs w:val="20"/>
        </w:rPr>
      </w:pPr>
      <w:r w:rsidRPr="00A85A47">
        <w:rPr>
          <w:sz w:val="20"/>
          <w:szCs w:val="20"/>
        </w:rPr>
        <w:t>The dash</w:t>
      </w:r>
      <w:r w:rsidR="00AE0DFD">
        <w:rPr>
          <w:sz w:val="20"/>
          <w:szCs w:val="20"/>
        </w:rPr>
        <w:t>ed curves show the component PDF</w:t>
      </w:r>
      <w:r w:rsidRPr="00A85A47">
        <w:rPr>
          <w:sz w:val="20"/>
          <w:szCs w:val="20"/>
        </w:rPr>
        <w:t xml:space="preserve">s and the solid curve shows the final EBMA </w:t>
      </w:r>
      <w:r w:rsidR="00AE0DFD">
        <w:rPr>
          <w:sz w:val="20"/>
          <w:szCs w:val="20"/>
        </w:rPr>
        <w:t>PDF</w:t>
      </w:r>
      <w:r w:rsidRPr="00A85A47">
        <w:rPr>
          <w:sz w:val="20"/>
          <w:szCs w:val="20"/>
        </w:rPr>
        <w:t xml:space="preserve">. The light dashes at the bottom show the point predictions of each component, the dark dash shows the EBMA posterior median, and the vertical dotted line shows the actual election outcome.   </w:t>
      </w:r>
    </w:p>
    <w:sdt>
      <w:sdtPr>
        <w:rPr>
          <w:rFonts w:ascii="Arial" w:eastAsia="Times New Roman" w:hAnsi="Arial" w:cs="Times New Roman"/>
          <w:b w:val="0"/>
          <w:bCs w:val="0"/>
          <w:color w:val="auto"/>
          <w:sz w:val="22"/>
          <w:szCs w:val="22"/>
          <w:lang w:bidi="ar-SA"/>
        </w:rPr>
        <w:id w:val="1257168685"/>
        <w:docPartObj>
          <w:docPartGallery w:val="Bibliographies"/>
          <w:docPartUnique/>
        </w:docPartObj>
      </w:sdtPr>
      <w:sdtContent>
        <w:p w14:paraId="1AB66DB0" w14:textId="56E46796" w:rsidR="008341C7" w:rsidRDefault="008341C7">
          <w:pPr>
            <w:pStyle w:val="Heading1"/>
          </w:pPr>
          <w:r>
            <w:t>References</w:t>
          </w:r>
          <w:r w:rsidR="00A64719">
            <w:t xml:space="preserve"> (this will change as we add refs.</w:t>
          </w:r>
        </w:p>
        <w:sdt>
          <w:sdtPr>
            <w:id w:val="111145805"/>
            <w:bibliography/>
          </w:sdtPr>
          <w:sdtContent>
            <w:p w14:paraId="0FBBB107" w14:textId="77777777" w:rsidR="00CF5A06" w:rsidRDefault="008341C7" w:rsidP="00CF5A06">
              <w:pPr>
                <w:pStyle w:val="Bibliography"/>
                <w:rPr>
                  <w:noProof/>
                </w:rPr>
              </w:pPr>
              <w:r w:rsidRPr="00A64719">
                <w:rPr>
                  <w:rFonts w:ascii="Courier New" w:hAnsi="Courier New" w:cs="Courier New"/>
                  <w:sz w:val="24"/>
                  <w:szCs w:val="24"/>
                </w:rPr>
                <w:fldChar w:fldCharType="begin"/>
              </w:r>
              <w:r w:rsidRPr="00A64719">
                <w:rPr>
                  <w:rFonts w:ascii="Courier New" w:hAnsi="Courier New" w:cs="Courier New"/>
                  <w:sz w:val="24"/>
                  <w:szCs w:val="24"/>
                </w:rPr>
                <w:instrText xml:space="preserve"> BIBLIOGRAPHY </w:instrText>
              </w:r>
              <w:r w:rsidRPr="00A64719">
                <w:rPr>
                  <w:rFonts w:ascii="Courier New" w:hAnsi="Courier New" w:cs="Courier New"/>
                  <w:sz w:val="24"/>
                  <w:szCs w:val="24"/>
                </w:rPr>
                <w:fldChar w:fldCharType="separate"/>
              </w:r>
              <w:r w:rsidR="00CF5A06">
                <w:rPr>
                  <w:noProof/>
                </w:rPr>
                <w:t xml:space="preserve">Feldkircher, M. (2010). Forecast Combination and Bayesian Model Averaging: A Prior Sensitivity Analysis. </w:t>
              </w:r>
              <w:r w:rsidR="00CF5A06">
                <w:rPr>
                  <w:i/>
                  <w:iCs/>
                  <w:noProof/>
                </w:rPr>
                <w:t>Journal of Forecasting</w:t>
              </w:r>
              <w:r w:rsidR="00CF5A06">
                <w:rPr>
                  <w:noProof/>
                </w:rPr>
                <w:t xml:space="preserve"> </w:t>
              </w:r>
              <w:r w:rsidR="00CF5A06">
                <w:rPr>
                  <w:i/>
                  <w:iCs/>
                  <w:noProof/>
                </w:rPr>
                <w:t>, {in press}</w:t>
              </w:r>
              <w:r w:rsidR="00CF5A06">
                <w:rPr>
                  <w:noProof/>
                </w:rPr>
                <w:t>.</w:t>
              </w:r>
            </w:p>
            <w:p w14:paraId="7588B394" w14:textId="77777777" w:rsidR="00CF5A06" w:rsidRPr="00CF5A06" w:rsidRDefault="00CF5A06" w:rsidP="00CF5A06"/>
            <w:p w14:paraId="2E831663" w14:textId="77777777" w:rsidR="00CF5A06" w:rsidRDefault="00CF5A06" w:rsidP="00CF5A06">
              <w:pPr>
                <w:pStyle w:val="Bibliography"/>
                <w:rPr>
                  <w:noProof/>
                </w:rPr>
              </w:pPr>
              <w:r>
                <w:rPr>
                  <w:noProof/>
                </w:rPr>
                <w:t xml:space="preserve">Gary Koop, D. K. (2009). </w:t>
              </w:r>
              <w:r>
                <w:rPr>
                  <w:i/>
                  <w:iCs/>
                  <w:noProof/>
                </w:rPr>
                <w:t>Forecasting Inflation Using Dynamic Model Averaging.</w:t>
              </w:r>
              <w:r>
                <w:rPr>
                  <w:noProof/>
                </w:rPr>
                <w:t xml:space="preserve"> </w:t>
              </w:r>
            </w:p>
            <w:p w14:paraId="75FE9A52" w14:textId="77777777" w:rsidR="00CF5A06" w:rsidRDefault="00CF5A06" w:rsidP="00CF5A06">
              <w:pPr>
                <w:pStyle w:val="Bibliography"/>
                <w:rPr>
                  <w:noProof/>
                </w:rPr>
              </w:pPr>
              <w:r>
                <w:rPr>
                  <w:noProof/>
                </w:rPr>
                <w:lastRenderedPageBreak/>
                <w:t xml:space="preserve">Jacob M. Montgomery, F. M. (2012, March 22). Improving Predictions Using Ensemble Bayesian Model Averaging. </w:t>
              </w:r>
              <w:r>
                <w:rPr>
                  <w:i/>
                  <w:iCs/>
                  <w:noProof/>
                </w:rPr>
                <w:t>Political Analysis</w:t>
              </w:r>
              <w:r>
                <w:rPr>
                  <w:noProof/>
                </w:rPr>
                <w:t xml:space="preserve"> </w:t>
              </w:r>
              <w:r>
                <w:rPr>
                  <w:i/>
                  <w:iCs/>
                  <w:noProof/>
                </w:rPr>
                <w:t>, 20</w:t>
              </w:r>
              <w:r>
                <w:rPr>
                  <w:noProof/>
                </w:rPr>
                <w:t xml:space="preserve"> (tbd), p. tbd.</w:t>
              </w:r>
            </w:p>
            <w:p w14:paraId="0D367642" w14:textId="77777777" w:rsidR="00CF5A06" w:rsidRPr="00CF5A06" w:rsidRDefault="00CF5A06" w:rsidP="00CF5A06"/>
            <w:p w14:paraId="43732B22" w14:textId="77777777" w:rsidR="00CF5A06" w:rsidRDefault="00CF5A06" w:rsidP="00CF5A06">
              <w:pPr>
                <w:pStyle w:val="Bibliography"/>
                <w:rPr>
                  <w:noProof/>
                </w:rPr>
              </w:pPr>
              <w:r>
                <w:rPr>
                  <w:noProof/>
                </w:rPr>
                <w:t xml:space="preserve">Monica Billio, R. C. (2010). </w:t>
              </w:r>
              <w:r>
                <w:rPr>
                  <w:i/>
                  <w:iCs/>
                  <w:noProof/>
                </w:rPr>
                <w:t>Combining Predictive Densities Using {B}ayesian Filtering with Applications to {US} Economics Data.</w:t>
              </w:r>
              <w:r>
                <w:rPr>
                  <w:noProof/>
                </w:rPr>
                <w:t xml:space="preserve"> </w:t>
              </w:r>
            </w:p>
            <w:p w14:paraId="45CFDDEE" w14:textId="77777777" w:rsidR="00CF5A06" w:rsidRPr="00CF5A06" w:rsidRDefault="00CF5A06" w:rsidP="00CF5A06"/>
            <w:p w14:paraId="344A8E32" w14:textId="77777777" w:rsidR="00CF5A06" w:rsidRDefault="00CF5A06" w:rsidP="00CF5A06">
              <w:pPr>
                <w:pStyle w:val="Bibliography"/>
                <w:rPr>
                  <w:noProof/>
                </w:rPr>
              </w:pPr>
              <w:r>
                <w:rPr>
                  <w:noProof/>
                </w:rPr>
                <w:t xml:space="preserve">Raftery, A. E. (2005). Using Bayesian Model Averaging to Calibrate Forecast Ensembles. </w:t>
              </w:r>
              <w:r>
                <w:rPr>
                  <w:i/>
                  <w:iCs/>
                  <w:noProof/>
                </w:rPr>
                <w:t>Monthly Weather Review</w:t>
              </w:r>
              <w:r>
                <w:rPr>
                  <w:noProof/>
                </w:rPr>
                <w:t xml:space="preserve"> </w:t>
              </w:r>
              <w:r>
                <w:rPr>
                  <w:i/>
                  <w:iCs/>
                  <w:noProof/>
                </w:rPr>
                <w:t>, 133</w:t>
              </w:r>
              <w:r>
                <w:rPr>
                  <w:noProof/>
                </w:rPr>
                <w:t xml:space="preserve"> (5), 1155-1174.</w:t>
              </w:r>
            </w:p>
            <w:p w14:paraId="6FEF90E5" w14:textId="77777777" w:rsidR="00CF5A06" w:rsidRPr="00CF5A06" w:rsidRDefault="00CF5A06" w:rsidP="00CF5A06"/>
            <w:p w14:paraId="2B3DDBA6" w14:textId="77777777" w:rsidR="00CF5A06" w:rsidRDefault="00CF5A06" w:rsidP="00CF5A06">
              <w:pPr>
                <w:pStyle w:val="Bibliography"/>
                <w:rPr>
                  <w:noProof/>
                </w:rPr>
              </w:pPr>
              <w:r>
                <w:rPr>
                  <w:noProof/>
                </w:rPr>
                <w:t xml:space="preserve">Richard M. Chmielecki, A. E. (2010). Probabilistic Visibility Forecasting Using Bayesian Model Averaging. </w:t>
              </w:r>
              <w:r>
                <w:rPr>
                  <w:i/>
                  <w:iCs/>
                  <w:noProof/>
                </w:rPr>
                <w:t>Monthly Weather Review</w:t>
              </w:r>
              <w:r>
                <w:rPr>
                  <w:noProof/>
                </w:rPr>
                <w:t xml:space="preserve"> </w:t>
              </w:r>
              <w:r>
                <w:rPr>
                  <w:i/>
                  <w:iCs/>
                  <w:noProof/>
                </w:rPr>
                <w:t>, 139</w:t>
              </w:r>
              <w:r>
                <w:rPr>
                  <w:noProof/>
                </w:rPr>
                <w:t xml:space="preserve"> (5), 1626-1636.</w:t>
              </w:r>
            </w:p>
            <w:p w14:paraId="3FD9BD36" w14:textId="77777777" w:rsidR="00CF5A06" w:rsidRPr="00CF5A06" w:rsidRDefault="00CF5A06" w:rsidP="00CF5A06"/>
            <w:p w14:paraId="7F202DB7" w14:textId="77777777" w:rsidR="00CF5A06" w:rsidRDefault="00CF5A06" w:rsidP="00CF5A06">
              <w:pPr>
                <w:pStyle w:val="Bibliography"/>
                <w:rPr>
                  <w:noProof/>
                </w:rPr>
              </w:pPr>
              <w:r>
                <w:rPr>
                  <w:noProof/>
                </w:rPr>
                <w:t xml:space="preserve">Stevens, J. (2012, June 24). Political Scientists Are Lousy Forecasters. </w:t>
              </w:r>
              <w:r>
                <w:rPr>
                  <w:i/>
                  <w:iCs/>
                  <w:noProof/>
                </w:rPr>
                <w:t>New York Times Sunday Review</w:t>
              </w:r>
              <w:r>
                <w:rPr>
                  <w:noProof/>
                </w:rPr>
                <w:t xml:space="preserve"> , p. SR6.</w:t>
              </w:r>
            </w:p>
            <w:p w14:paraId="23981C4D" w14:textId="77777777" w:rsidR="00CF5A06" w:rsidRPr="00CF5A06" w:rsidRDefault="00CF5A06" w:rsidP="00CF5A06"/>
            <w:p w14:paraId="1086D173" w14:textId="77777777" w:rsidR="00CF5A06" w:rsidRDefault="00CF5A06" w:rsidP="00CF5A06">
              <w:pPr>
                <w:pStyle w:val="Bibliography"/>
                <w:rPr>
                  <w:noProof/>
                </w:rPr>
              </w:pPr>
              <w:r>
                <w:rPr>
                  <w:noProof/>
                </w:rPr>
                <w:t xml:space="preserve">Tilmann Gneiting, T. L. (2010). </w:t>
              </w:r>
              <w:r>
                <w:rPr>
                  <w:i/>
                  <w:iCs/>
                  <w:noProof/>
                </w:rPr>
                <w:t>Predicting Inflation: Professional Experts Versus No-Change Forecasts.</w:t>
              </w:r>
              <w:r>
                <w:rPr>
                  <w:noProof/>
                </w:rPr>
                <w:t xml:space="preserve"> </w:t>
              </w:r>
            </w:p>
            <w:p w14:paraId="559DEDE7" w14:textId="77777777" w:rsidR="00CF5A06" w:rsidRPr="00CF5A06" w:rsidRDefault="00CF5A06" w:rsidP="00CF5A06"/>
            <w:p w14:paraId="1F1DE7F2" w14:textId="77777777" w:rsidR="00CF5A06" w:rsidRDefault="00CF5A06" w:rsidP="00CF5A06">
              <w:pPr>
                <w:pStyle w:val="Bibliography"/>
                <w:rPr>
                  <w:noProof/>
                </w:rPr>
              </w:pPr>
              <w:r>
                <w:rPr>
                  <w:noProof/>
                </w:rPr>
                <w:t xml:space="preserve">Veronica J. Berrocal, A. E. (2010). Probabilistic Weather Forecasting for Winter Road Maintenance. </w:t>
              </w:r>
              <w:r>
                <w:rPr>
                  <w:i/>
                  <w:iCs/>
                  <w:noProof/>
                </w:rPr>
                <w:t>Journal of the American Statistical Association</w:t>
              </w:r>
              <w:r>
                <w:rPr>
                  <w:noProof/>
                </w:rPr>
                <w:t xml:space="preserve"> </w:t>
              </w:r>
              <w:r>
                <w:rPr>
                  <w:i/>
                  <w:iCs/>
                  <w:noProof/>
                </w:rPr>
                <w:t>, 105</w:t>
              </w:r>
              <w:r>
                <w:rPr>
                  <w:noProof/>
                </w:rPr>
                <w:t xml:space="preserve"> (490), 522-2537.</w:t>
              </w:r>
            </w:p>
            <w:p w14:paraId="0805B8FB" w14:textId="77777777" w:rsidR="00CF5A06" w:rsidRPr="00CF5A06" w:rsidRDefault="00CF5A06" w:rsidP="00CF5A06"/>
            <w:p w14:paraId="5957E71C" w14:textId="77777777" w:rsidR="00CF5A06" w:rsidRDefault="00CF5A06" w:rsidP="00CF5A06">
              <w:pPr>
                <w:pStyle w:val="Bibliography"/>
                <w:rPr>
                  <w:noProof/>
                </w:rPr>
              </w:pPr>
              <w:r>
                <w:rPr>
                  <w:noProof/>
                </w:rPr>
                <w:t xml:space="preserve">William A. Brock, S. N. (2007). Model Uncertainty and Policy Evaluation: Some Theory and Empirics. </w:t>
              </w:r>
              <w:r>
                <w:rPr>
                  <w:i/>
                  <w:iCs/>
                  <w:noProof/>
                </w:rPr>
                <w:t>Journal of Econometrics</w:t>
              </w:r>
              <w:r>
                <w:rPr>
                  <w:noProof/>
                </w:rPr>
                <w:t xml:space="preserve"> </w:t>
              </w:r>
              <w:r>
                <w:rPr>
                  <w:i/>
                  <w:iCs/>
                  <w:noProof/>
                </w:rPr>
                <w:t>, 136</w:t>
              </w:r>
              <w:r>
                <w:rPr>
                  <w:noProof/>
                </w:rPr>
                <w:t xml:space="preserve"> (2), 629-664.</w:t>
              </w:r>
            </w:p>
            <w:p w14:paraId="3A29A739" w14:textId="77777777" w:rsidR="00CF5A06" w:rsidRPr="00CF5A06" w:rsidRDefault="00CF5A06" w:rsidP="00CF5A06"/>
            <w:p w14:paraId="1C49FFDB" w14:textId="77777777" w:rsidR="00CF5A06" w:rsidRDefault="00CF5A06" w:rsidP="00CF5A06">
              <w:pPr>
                <w:pStyle w:val="Bibliography"/>
                <w:rPr>
                  <w:noProof/>
                </w:rPr>
              </w:pPr>
              <w:r>
                <w:rPr>
                  <w:noProof/>
                </w:rPr>
                <w:t xml:space="preserve">Wright, J. H. (2008). Bayesian Model Averaging and Exchange Rate Forecasts. </w:t>
              </w:r>
              <w:r>
                <w:rPr>
                  <w:i/>
                  <w:iCs/>
                  <w:noProof/>
                </w:rPr>
                <w:t>Journal of Econometrics</w:t>
              </w:r>
              <w:r>
                <w:rPr>
                  <w:noProof/>
                </w:rPr>
                <w:t xml:space="preserve"> </w:t>
              </w:r>
              <w:r>
                <w:rPr>
                  <w:i/>
                  <w:iCs/>
                  <w:noProof/>
                </w:rPr>
                <w:t>, 146</w:t>
              </w:r>
              <w:r>
                <w:rPr>
                  <w:noProof/>
                </w:rPr>
                <w:t xml:space="preserve"> (2), 329-341.</w:t>
              </w:r>
            </w:p>
            <w:p w14:paraId="54EEB77E" w14:textId="77777777" w:rsidR="00CF5A06" w:rsidRPr="00CF5A06" w:rsidRDefault="00CF5A06" w:rsidP="00CF5A06">
              <w:bookmarkStart w:id="0" w:name="_GoBack"/>
              <w:bookmarkEnd w:id="0"/>
            </w:p>
            <w:p w14:paraId="5DE93080" w14:textId="77777777" w:rsidR="00CF5A06" w:rsidRDefault="00CF5A06" w:rsidP="00CF5A06">
              <w:pPr>
                <w:pStyle w:val="Bibliography"/>
                <w:rPr>
                  <w:noProof/>
                </w:rPr>
              </w:pPr>
              <w:r>
                <w:rPr>
                  <w:noProof/>
                </w:rPr>
                <w:t xml:space="preserve">Wright, J. H. (2009). Forecasting US Inflation by Bayesian Model Averaging. </w:t>
              </w:r>
              <w:r>
                <w:rPr>
                  <w:i/>
                  <w:iCs/>
                  <w:noProof/>
                </w:rPr>
                <w:t>Journal of Forecasting</w:t>
              </w:r>
              <w:r>
                <w:rPr>
                  <w:noProof/>
                </w:rPr>
                <w:t xml:space="preserve"> </w:t>
              </w:r>
              <w:r>
                <w:rPr>
                  <w:i/>
                  <w:iCs/>
                  <w:noProof/>
                </w:rPr>
                <w:t>, 28</w:t>
              </w:r>
              <w:r>
                <w:rPr>
                  <w:noProof/>
                </w:rPr>
                <w:t xml:space="preserve"> (2), 131-144.</w:t>
              </w:r>
            </w:p>
            <w:p w14:paraId="639ABAA6" w14:textId="001D135E" w:rsidR="008341C7" w:rsidRDefault="008341C7" w:rsidP="00CF5A06">
              <w:pPr>
                <w:spacing w:line="480" w:lineRule="auto"/>
                <w:ind w:left="720" w:hanging="720"/>
              </w:pPr>
              <w:r w:rsidRPr="00A64719">
                <w:rPr>
                  <w:rFonts w:ascii="Courier New" w:hAnsi="Courier New" w:cs="Courier New"/>
                  <w:b/>
                  <w:bCs/>
                  <w:noProof/>
                  <w:sz w:val="24"/>
                  <w:szCs w:val="24"/>
                </w:rPr>
                <w:fldChar w:fldCharType="end"/>
              </w:r>
            </w:p>
          </w:sdtContent>
        </w:sdt>
      </w:sdtContent>
    </w:sdt>
    <w:p w14:paraId="5FAFA5A6" w14:textId="77777777" w:rsidR="008F149B" w:rsidRDefault="008F149B" w:rsidP="00CE2280">
      <w:pPr>
        <w:pStyle w:val="Manuscriptparagraph"/>
      </w:pPr>
    </w:p>
    <w:p w14:paraId="7072C6DD" w14:textId="77777777" w:rsidR="008F149B" w:rsidRDefault="008F149B" w:rsidP="00CE2280">
      <w:pPr>
        <w:pStyle w:val="Manuscriptparagraph"/>
      </w:pPr>
    </w:p>
    <w:p w14:paraId="70B37480" w14:textId="77777777" w:rsidR="00F8127A" w:rsidRDefault="00F8127A" w:rsidP="00CE2280">
      <w:pPr>
        <w:pStyle w:val="Manuscriptparagraph"/>
      </w:pPr>
    </w:p>
    <w:p w14:paraId="2F894391" w14:textId="77777777" w:rsid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About the authors</w:t>
      </w:r>
    </w:p>
    <w:sdt>
      <w:sdtPr>
        <w:id w:val="-68435313"/>
        <w:docPartObj>
          <w:docPartGallery w:val="Bibliographies"/>
          <w:docPartUnique/>
        </w:docPartObj>
      </w:sdtPr>
      <w:sdtContent>
        <w:p w14:paraId="3FF1EF43" w14:textId="2071E18E" w:rsidR="00CE2280" w:rsidRP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Jacob Montgomery is an Assistant Professor</w:t>
          </w:r>
          <w:r w:rsidR="0077361B">
            <w:rPr>
              <w:rFonts w:ascii="Courier New" w:hAnsi="Courier New" w:cs="Courier New"/>
              <w:sz w:val="24"/>
              <w:szCs w:val="24"/>
            </w:rPr>
            <w:t xml:space="preserve"> in the Department of Political </w:t>
          </w:r>
          <w:r w:rsidRPr="00CE2280">
            <w:rPr>
              <w:rFonts w:ascii="Courier New" w:hAnsi="Courier New" w:cs="Courier New"/>
              <w:sz w:val="24"/>
              <w:szCs w:val="24"/>
            </w:rPr>
            <w:t>Science at Washington University in St. Louis and a Fellow at the Center for Political Economy.  His research is in the areas of political m</w:t>
          </w:r>
          <w:r>
            <w:rPr>
              <w:rFonts w:ascii="Courier New" w:hAnsi="Courier New" w:cs="Courier New"/>
              <w:sz w:val="24"/>
              <w:szCs w:val="24"/>
            </w:rPr>
            <w:t>ethodology and American politics</w:t>
          </w:r>
          <w:r w:rsidRPr="00CE2280">
            <w:rPr>
              <w:rFonts w:ascii="Courier New" w:hAnsi="Courier New" w:cs="Courier New"/>
              <w:sz w:val="24"/>
              <w:szCs w:val="24"/>
            </w:rPr>
            <w:t xml:space="preserve">.   He graduated with a B.A. from Wake Forest University </w:t>
          </w:r>
          <w:r w:rsidRPr="00CE2280">
            <w:rPr>
              <w:rFonts w:ascii="Courier New" w:hAnsi="Courier New" w:cs="Courier New"/>
              <w:sz w:val="24"/>
              <w:szCs w:val="24"/>
            </w:rPr>
            <w:lastRenderedPageBreak/>
            <w:t>with majors in Political Science and Mathematical Economics.  He earned an M.S. in Statistical Science, as well as his Ph.D. (2011) in Political Science from Duke University. </w:t>
          </w:r>
        </w:p>
      </w:sdtContent>
    </w:sdt>
    <w:p w14:paraId="3F74B229" w14:textId="77777777" w:rsidR="00CE2280" w:rsidRPr="00CE2280" w:rsidRDefault="00CE2280" w:rsidP="00CE2280">
      <w:pPr>
        <w:suppressAutoHyphens/>
        <w:spacing w:line="480" w:lineRule="auto"/>
        <w:ind w:firstLine="720"/>
        <w:rPr>
          <w:rFonts w:ascii="Courier New" w:hAnsi="Courier New" w:cs="Courier New"/>
          <w:sz w:val="24"/>
          <w:szCs w:val="24"/>
        </w:rPr>
      </w:pPr>
    </w:p>
    <w:p w14:paraId="7AE39A0B" w14:textId="0189167D"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Florian </w:t>
      </w:r>
      <w:r w:rsidR="003938B5">
        <w:rPr>
          <w:rFonts w:ascii="Courier New" w:hAnsi="Courier New" w:cs="Courier New"/>
          <w:sz w:val="24"/>
          <w:szCs w:val="24"/>
        </w:rPr>
        <w:t xml:space="preserve">M. </w:t>
      </w:r>
      <w:r w:rsidRPr="00CE2280">
        <w:rPr>
          <w:rFonts w:ascii="Courier New" w:hAnsi="Courier New" w:cs="Courier New"/>
          <w:sz w:val="24"/>
          <w:szCs w:val="24"/>
        </w:rPr>
        <w:t>Hollenbach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CE2280" w:rsidRDefault="00CE2280" w:rsidP="00CE2280">
      <w:pPr>
        <w:suppressAutoHyphens/>
        <w:spacing w:line="480" w:lineRule="auto"/>
        <w:ind w:firstLine="720"/>
        <w:rPr>
          <w:rFonts w:ascii="Courier New" w:hAnsi="Courier New" w:cs="Courier New"/>
          <w:sz w:val="24"/>
          <w:szCs w:val="24"/>
        </w:rPr>
      </w:pPr>
    </w:p>
    <w:p w14:paraId="0881C211" w14:textId="5DDCE30A"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Michael D. Ward is Professor of Political Science at Duke University. His primary interest</w:t>
      </w:r>
      <w:r>
        <w:rPr>
          <w:rFonts w:ascii="Courier New" w:hAnsi="Courier New" w:cs="Courier New"/>
          <w:sz w:val="24"/>
          <w:szCs w:val="24"/>
        </w:rPr>
        <w:t>s</w:t>
      </w:r>
      <w:r w:rsidRPr="00CE2280">
        <w:rPr>
          <w:rFonts w:ascii="Courier New" w:hAnsi="Courier New" w:cs="Courier New"/>
          <w:sz w:val="24"/>
          <w:szCs w:val="24"/>
        </w:rPr>
        <w:t xml:space="preserve"> focus on developing predictive models of political phenomena. </w:t>
      </w:r>
      <w:r w:rsidR="009B6D73">
        <w:rPr>
          <w:rFonts w:ascii="Courier New" w:hAnsi="Courier New" w:cs="Courier New"/>
          <w:sz w:val="24"/>
          <w:szCs w:val="24"/>
        </w:rPr>
        <w:t xml:space="preserve">His Ph. D. (1977) is from the home of political science </w:t>
      </w:r>
      <w:r w:rsidR="00D37439">
        <w:rPr>
          <w:rFonts w:ascii="Courier New" w:hAnsi="Courier New" w:cs="Courier New"/>
          <w:sz w:val="24"/>
          <w:szCs w:val="24"/>
        </w:rPr>
        <w:t>predictions</w:t>
      </w:r>
      <w:r w:rsidR="009B6D73">
        <w:rPr>
          <w:rFonts w:ascii="Courier New" w:hAnsi="Courier New" w:cs="Courier New"/>
          <w:sz w:val="24"/>
          <w:szCs w:val="24"/>
        </w:rPr>
        <w:t>, Northwestern University.</w:t>
      </w:r>
      <w:r w:rsidRPr="00CE2280">
        <w:rPr>
          <w:rFonts w:ascii="Courier New" w:hAnsi="Courier New" w:cs="Courier New"/>
          <w:sz w:val="24"/>
          <w:szCs w:val="24"/>
        </w:rPr>
        <w:t xml:space="preserve"> </w:t>
      </w:r>
      <w:r w:rsidR="00D37439">
        <w:rPr>
          <w:rFonts w:ascii="Courier New" w:hAnsi="Courier New"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10"/>
      <w:headerReference w:type="default" r:id="rId11"/>
      <w:footerReference w:type="even" r:id="rId12"/>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6B4BCA" w:rsidRDefault="006B4BCA">
      <w:r>
        <w:separator/>
      </w:r>
    </w:p>
  </w:endnote>
  <w:endnote w:type="continuationSeparator" w:id="0">
    <w:p w14:paraId="6D3EB4C3" w14:textId="77777777" w:rsidR="006B4BCA" w:rsidRDefault="006B4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6B4BCA" w:rsidRDefault="006B4BCA"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6B4BCA" w:rsidRDefault="006B4BCA"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6B4BCA" w:rsidRDefault="006B4BCA"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6B4BCA" w:rsidRDefault="006B4BCA">
      <w:r>
        <w:separator/>
      </w:r>
    </w:p>
  </w:footnote>
  <w:footnote w:type="continuationSeparator" w:id="0">
    <w:p w14:paraId="7034B303" w14:textId="77777777" w:rsidR="006B4BCA" w:rsidRDefault="006B4BCA">
      <w:r>
        <w:continuationSeparator/>
      </w:r>
    </w:p>
  </w:footnote>
  <w:footnote w:id="1">
    <w:p w14:paraId="7E05C0E0" w14:textId="46AF6635" w:rsidR="006B4BCA" w:rsidRPr="00E83B88" w:rsidRDefault="006B4BCA" w:rsidP="0058526D">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However, we feel that the models here are sufficiently parsimonious to ameliorate concerns about over-fitting.   </w:t>
      </w:r>
    </w:p>
  </w:footnote>
  <w:footnote w:id="2">
    <w:p w14:paraId="21DA01EB" w14:textId="135A129F" w:rsidR="006B4BCA" w:rsidRPr="003938B5" w:rsidRDefault="006B4BCA"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This means that component models with highly correlated predictions will be penalized and receive less weight. </w:t>
      </w:r>
    </w:p>
  </w:footnote>
  <w:footnote w:id="3">
    <w:p w14:paraId="66567D02" w14:textId="5A12C9C9" w:rsidR="006B4BCA" w:rsidRPr="00557C5B" w:rsidRDefault="006B4BCA"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We will describe the mathematical detail behind the EBMA model with few details here. For a more detailed description the reader should consult </w:t>
      </w:r>
      <w:r w:rsidRPr="00D37439">
        <w:rPr>
          <w:rFonts w:ascii="Courier New" w:hAnsi="Courier New" w:cs="Courier New"/>
          <w:noProof/>
          <w:sz w:val="20"/>
          <w:szCs w:val="20"/>
        </w:rPr>
        <w:t>Montgomery</w:t>
      </w:r>
      <w:r>
        <w:rPr>
          <w:rFonts w:ascii="Courier New" w:hAnsi="Courier New" w:cs="Courier New"/>
          <w:noProof/>
          <w:sz w:val="20"/>
          <w:szCs w:val="20"/>
        </w:rPr>
        <w:t xml:space="preserve"> et alia,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6B4BCA" w:rsidRDefault="006B4BCA"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6B4BCA" w:rsidRDefault="006B4BCA"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6B4BCA" w:rsidRDefault="006B4BCA"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5A06">
      <w:rPr>
        <w:rStyle w:val="PageNumber"/>
        <w:noProof/>
      </w:rPr>
      <w:t>11</w:t>
    </w:r>
    <w:r>
      <w:rPr>
        <w:rStyle w:val="PageNumber"/>
      </w:rPr>
      <w:fldChar w:fldCharType="end"/>
    </w:r>
  </w:p>
  <w:p w14:paraId="176D1316" w14:textId="77777777" w:rsidR="006B4BCA" w:rsidRPr="006C2BE9" w:rsidRDefault="006B4BCA"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6B4BCA" w:rsidRDefault="006B4B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0F58A5"/>
    <w:rsid w:val="00126EF7"/>
    <w:rsid w:val="001D370D"/>
    <w:rsid w:val="001F5468"/>
    <w:rsid w:val="00211DE5"/>
    <w:rsid w:val="00252BF2"/>
    <w:rsid w:val="0028091B"/>
    <w:rsid w:val="00285CDF"/>
    <w:rsid w:val="00292A64"/>
    <w:rsid w:val="00340D0F"/>
    <w:rsid w:val="003938B5"/>
    <w:rsid w:val="00397B6D"/>
    <w:rsid w:val="003A443B"/>
    <w:rsid w:val="003B4ABE"/>
    <w:rsid w:val="004A4D8A"/>
    <w:rsid w:val="004B1906"/>
    <w:rsid w:val="0055107B"/>
    <w:rsid w:val="00557C5B"/>
    <w:rsid w:val="00575936"/>
    <w:rsid w:val="0058526D"/>
    <w:rsid w:val="005B1AB1"/>
    <w:rsid w:val="005B27F6"/>
    <w:rsid w:val="005C58FB"/>
    <w:rsid w:val="006058D4"/>
    <w:rsid w:val="00611989"/>
    <w:rsid w:val="00626DC6"/>
    <w:rsid w:val="00640F47"/>
    <w:rsid w:val="0065040B"/>
    <w:rsid w:val="006550EF"/>
    <w:rsid w:val="00671C89"/>
    <w:rsid w:val="006B4BCA"/>
    <w:rsid w:val="006B781D"/>
    <w:rsid w:val="006C0D68"/>
    <w:rsid w:val="006C2BE9"/>
    <w:rsid w:val="0077361B"/>
    <w:rsid w:val="00796350"/>
    <w:rsid w:val="007B53D4"/>
    <w:rsid w:val="007E63DA"/>
    <w:rsid w:val="007F4012"/>
    <w:rsid w:val="008138FA"/>
    <w:rsid w:val="008341C7"/>
    <w:rsid w:val="00873664"/>
    <w:rsid w:val="008F149B"/>
    <w:rsid w:val="00902733"/>
    <w:rsid w:val="0094146A"/>
    <w:rsid w:val="00997E9B"/>
    <w:rsid w:val="009B6D73"/>
    <w:rsid w:val="009F1F99"/>
    <w:rsid w:val="00A1142D"/>
    <w:rsid w:val="00A13871"/>
    <w:rsid w:val="00A21BF1"/>
    <w:rsid w:val="00A421D9"/>
    <w:rsid w:val="00A503A4"/>
    <w:rsid w:val="00A64719"/>
    <w:rsid w:val="00A85A47"/>
    <w:rsid w:val="00AB4E67"/>
    <w:rsid w:val="00AD7EF5"/>
    <w:rsid w:val="00AE0DFD"/>
    <w:rsid w:val="00AF2DF5"/>
    <w:rsid w:val="00B10729"/>
    <w:rsid w:val="00B67C13"/>
    <w:rsid w:val="00B83C12"/>
    <w:rsid w:val="00BB2FBA"/>
    <w:rsid w:val="00BD63A9"/>
    <w:rsid w:val="00BE2AA5"/>
    <w:rsid w:val="00BF11BD"/>
    <w:rsid w:val="00BF4936"/>
    <w:rsid w:val="00C0462E"/>
    <w:rsid w:val="00C2180B"/>
    <w:rsid w:val="00C25473"/>
    <w:rsid w:val="00C73B4F"/>
    <w:rsid w:val="00CA526F"/>
    <w:rsid w:val="00CB22F8"/>
    <w:rsid w:val="00CB5CA3"/>
    <w:rsid w:val="00CE2280"/>
    <w:rsid w:val="00CF5666"/>
    <w:rsid w:val="00CF5A06"/>
    <w:rsid w:val="00D00CD8"/>
    <w:rsid w:val="00D2686E"/>
    <w:rsid w:val="00D37439"/>
    <w:rsid w:val="00D67FB3"/>
    <w:rsid w:val="00D93FAF"/>
    <w:rsid w:val="00DA652F"/>
    <w:rsid w:val="00DB39AA"/>
    <w:rsid w:val="00DC62B2"/>
    <w:rsid w:val="00DD6721"/>
    <w:rsid w:val="00DE6C2C"/>
    <w:rsid w:val="00E02445"/>
    <w:rsid w:val="00E16B4B"/>
    <w:rsid w:val="00E45533"/>
    <w:rsid w:val="00E83B88"/>
    <w:rsid w:val="00EB682D"/>
    <w:rsid w:val="00F8127A"/>
    <w:rsid w:val="00F91663"/>
    <w:rsid w:val="00F965E2"/>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4003EA"/>
    <w:rsid w:val="0054482A"/>
    <w:rsid w:val="00C71705"/>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12</b:RefOrder>
  </b:Source>
  <b:Source>
    <b:Tag>Raf05</b:Tag>
    <b:SourceType>JournalArticle</b:SourceType>
    <b:Guid>{2D043107-9648-CA46-8FA6-B46BC6B4F48A}</b:Guid>
    <b:Title>Using Bayesian Model Averaging to Calibrate Forecast Ensembles</b:Title>
    <b:Year>2005</b:Year>
    <b:Volume>133</b:Volume>
    <b:Pages>1155-1174</b:Pages>
    <b:Author>
      <b:Author>
        <b:NameList>
          <b:Person>
            <b:Last>Raftery</b:Last>
            <b:First>Adrian</b:First>
            <b:Middle>E. and Gneiting, Tilmann and Balabdaoui, Fadoua and Polakowski, Michael</b:Middle>
          </b:Person>
        </b:NameList>
      </b:Author>
    </b:Author>
    <b:JournalName>Monthly Weather Review</b:JournalName>
    <b:Issue>5</b:Issue>
    <b:RefOrder>9</b:RefOrder>
  </b:Source>
  <b:Source>
    <b:Tag>Bil</b:Tag>
    <b:SourceType>Report</b:SourceType>
    <b:Guid>{A00B3703-C224-9C40-A830-DE46E607F472}</b:Guid>
    <b:Author>
      <b:Author>
        <b:NameList>
          <b:Person>
            <b:Last>Monica Billio</b:Last>
            <b:First>Roberto</b:First>
            <b:Middle>Casarin, Francesco Ravazzolo, Herman K. Van Dijk</b:Middle>
          </b:Person>
        </b:NameList>
      </b:Author>
    </b:Author>
    <b:Title>Combining Predictive Densities Using {B}ayesian Filtering with Applications to {US} Economics Data</b:Title>
    <b:Year>2010</b:Year>
    <b:Comments>Norges Bank Working Paper. http://ssrn.com/abstract=1735421 (accessed June 1, 2011)</b:Comments>
    <b:RefOrder>4</b:RefOrder>
  </b:Source>
  <b:Source>
    <b:Tag>Koo09</b:Tag>
    <b:SourceType>Report</b:SourceType>
    <b:Guid>{D06E2793-24AB-5041-98BE-C74C9159EDCB}</b:Guid>
    <b:Author>
      <b:Author>
        <b:NameList>
          <b:Person>
            <b:Last>Gary Koop</b:Last>
            <b:First>Dimitris</b:First>
            <b:Middle>Korobilis</b:Middle>
          </b:Person>
        </b:NameList>
      </b:Author>
    </b:Author>
    <b:Title>Forecasting Inflation Using Dynamic Model Averaging</b:Title>
    <b:Year>2009</b:Year>
    <b:Comments>Working Paper. http://personal.strath.ac.uk/gary.koop/koop_korobilis_forecasting_inflation_using_DMA.pdf (accessed May 25, 2011)</b:Comments>
    <b:RefOrder>3</b:RefOrder>
  </b:Source>
  <b:Source>
    <b:Tag>Bro07</b:Tag>
    <b:SourceType>JournalArticle</b:SourceType>
    <b:Guid>{1B1F9268-2875-2248-AE2D-2CA8D8548016}</b:Guid>
    <b:Author>
      <b:Author>
        <b:NameList>
          <b:Person>
            <b:Last>William A. Brock</b:Last>
            <b:First>Steven</b:First>
            <b:Middle>N. Durlauf, Kenneth D. West</b:Middle>
          </b:Person>
        </b:NameList>
      </b:Author>
    </b:Author>
    <b:Title>Model Uncertainty and Policy Evaluation: Some Theory and Empirics</b:Title>
    <b:Year>2007</b:Year>
    <b:Pages>629-664</b:Pages>
    <b:JournalName>Journal of Econometrics</b:JournalName>
    <b:Volume>136</b:Volume>
    <b:Issue>2</b:Issue>
    <b:RefOrder>5</b:RefOrder>
  </b:Source>
  <b:Source>
    <b:Tag>Jon08</b:Tag>
    <b:SourceType>JournalArticle</b:SourceType>
    <b:Guid>{D618BA5D-EB49-6448-B4E2-D523B9123737}</b:Guid>
    <b:Author>
      <b:Author>
        <b:NameList>
          <b:Person>
            <b:Last>Wright</b:Last>
            <b:First>Jonathan</b:First>
            <b:Middle>H.</b:Middle>
          </b:Person>
        </b:NameList>
      </b:Author>
    </b:Author>
    <b:Title>Bayesian Model Averaging and Exchange Rate Forecasts</b:Title>
    <b:JournalName>Journal of Econometrics</b:JournalName>
    <b:Year>2008</b:Year>
    <b:Volume>146</b:Volume>
    <b:Issue>2</b:Issue>
    <b:Pages>329-341</b:Pages>
    <b:RefOrder>6</b:RefOrder>
  </b:Source>
  <b:Source>
    <b:Tag>Jon09</b:Tag>
    <b:SourceType>JournalArticle</b:SourceType>
    <b:Guid>{5571E4A8-975F-C54C-89D5-920C7125A8C1}</b:Guid>
    <b:Author>
      <b:Author>
        <b:NameList>
          <b:Person>
            <b:Last>Wright</b:Last>
            <b:First>Jonathan</b:First>
            <b:Middle>H.</b:Middle>
          </b:Person>
        </b:NameList>
      </b:Author>
    </b:Author>
    <b:Title>Forecasting US Inflation by Bayesian Model Averaging</b:Title>
    <b:JournalName>Journal of Forecasting</b:JournalName>
    <b:Year>2009</b:Year>
    <b:Volume>28</b:Volume>
    <b:Issue>2</b:Issue>
    <b:Pages>131-144</b:Pages>
    <b:RefOrder>1</b:RefOrder>
  </b:Source>
  <b:Source>
    <b:Tag>Til10</b:Tag>
    <b:SourceType>Report</b:SourceType>
    <b:Guid>{8C92EF62-34CC-3141-8B67-9EA57EE650B2}</b:Guid>
    <b:Author>
      <b:Author>
        <b:NameList>
          <b:Person>
            <b:Last>Tilmann Gneiting</b:Last>
            <b:First>Thordis</b:First>
            <b:Middle>L. Thorarinsdottir</b:Middle>
          </b:Person>
        </b:NameList>
      </b:Author>
    </b:Author>
    <b:Title>Predicting Inflation: Professional Experts Versus No-Change Forecasts</b:Title>
    <b:Year>2010</b:Year>
    <b:Comments>Working Paper. http://arxiv.org/abs/1010.2318v1 (accessed June 15, 2011)</b:Comments>
    <b:RefOrder>2</b:RefOrder>
  </b:Source>
  <b:Source>
    <b:Tag>Mar10</b:Tag>
    <b:SourceType>JournalArticle</b:SourceType>
    <b:Guid>{9342E034-A91F-1942-8D42-6A8D8F3D4DB4}</b:Guid>
    <b:Title>Forecast Combination and Bayesian Model Averaging: A Prior Sensitivity Analysis</b:Title>
    <b:Year>2010</b:Year>
    <b:Author>
      <b:Author>
        <b:NameList>
          <b:Person>
            <b:Last>Feldkircher</b:Last>
            <b:First>Martin</b:First>
          </b:Person>
        </b:NameList>
      </b:Author>
    </b:Author>
    <b:JournalName>Journal of Forecasting</b:JournalName>
    <b:Volume>{in press}</b:Volume>
    <b:RefOrder>7</b:RefOrder>
  </b:Source>
  <b:Source>
    <b:Tag>Ver10</b:Tag>
    <b:SourceType>JournalArticle</b:SourceType>
    <b:Guid>{33E985ED-3217-3345-90D7-296D33935A8F}</b:Guid>
    <b:Author>
      <b:Author>
        <b:NameList>
          <b:Person>
            <b:Last>Veronica J. Berrocal</b:Last>
            <b:First>Arian</b:First>
            <b:Middle>E. Raftery, Tilmann Gneiting, Richard C. Steed</b:Middle>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Ric10</b:Tag>
    <b:SourceType>JournalArticle</b:SourceType>
    <b:Guid>{DF1CFE19-A47B-F144-BE4D-8195BEEB69EE}</b:Guid>
    <b:Author>
      <b:Author>
        <b:NameList>
          <b:Person>
            <b:Last>Richard M. Chmielecki</b:Last>
            <b:First>Arian</b:First>
            <b:Middle>E. Raftery</b:Middle>
          </b:Person>
        </b:NameList>
      </b:Author>
    </b:Author>
    <b:Title>Probabilistic Visibility Forecasting Using Bayesian Model Averaging</b:Title>
    <b:JournalName>Monthly Weather Review</b:JournalName>
    <b:Year>2010</b:Year>
    <b:Volume>139</b:Volume>
    <b:Issue>5</b:Issue>
    <b:Pages>1626-1636</b:Pages>
    <b:RefOrder>8</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8F3FE013-AC93-6547-8EC4-D6073BEE1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11</Pages>
  <Words>1854</Words>
  <Characters>10568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2012-07-12T21:30:00Z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