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3DA49" w14:textId="61D90E74" w:rsidR="006B781D" w:rsidRPr="00174620" w:rsidRDefault="00186F1E" w:rsidP="006B781D">
      <w:pPr>
        <w:jc w:val="center"/>
        <w:rPr>
          <w:rFonts w:asciiTheme="majorHAnsi" w:hAnsiTheme="majorHAnsi" w:cs="Courier New"/>
          <w:sz w:val="24"/>
          <w:szCs w:val="24"/>
        </w:rPr>
      </w:pPr>
      <w:sdt>
        <w:sdtPr>
          <w:rPr>
            <w:rFonts w:asciiTheme="majorHAnsi" w:hAnsiTheme="majorHAnsi" w:cs="Courier New"/>
            <w:sz w:val="24"/>
            <w:szCs w:val="24"/>
          </w:rPr>
          <w:id w:val="263662374"/>
          <w:placeholder>
            <w:docPart w:val="A98B1F26B213224298E68A40F0C3F7FA"/>
          </w:placeholder>
          <w:text/>
        </w:sdtPr>
        <w:sdtEndPr/>
        <w:sdtContent>
          <w:r w:rsidR="00CE2280" w:rsidRPr="00174620">
            <w:rPr>
              <w:rFonts w:asciiTheme="majorHAnsi" w:eastAsiaTheme="minorEastAsia" w:hAnsiTheme="majorHAnsi"/>
              <w:sz w:val="24"/>
              <w:szCs w:val="24"/>
            </w:rPr>
            <w:t>Ensemble Predictions of the 2012 US Presidential Elections</w:t>
          </w:r>
        </w:sdtContent>
      </w:sdt>
    </w:p>
    <w:p w14:paraId="64E9D70B" w14:textId="77777777" w:rsidR="006B781D" w:rsidRPr="00174620" w:rsidRDefault="006B781D" w:rsidP="000F072C">
      <w:pPr>
        <w:jc w:val="center"/>
        <w:rPr>
          <w:rFonts w:asciiTheme="majorHAnsi" w:hAnsiTheme="majorHAnsi" w:cs="Courier New"/>
          <w:sz w:val="24"/>
          <w:szCs w:val="24"/>
        </w:rPr>
      </w:pPr>
    </w:p>
    <w:p w14:paraId="79EBA77F" w14:textId="77777777" w:rsidR="006B781D" w:rsidRPr="00174620" w:rsidRDefault="006B781D" w:rsidP="000F072C">
      <w:pPr>
        <w:jc w:val="center"/>
        <w:rPr>
          <w:rFonts w:asciiTheme="majorHAnsi" w:hAnsiTheme="majorHAnsi" w:cs="Courier New"/>
          <w:sz w:val="24"/>
          <w:szCs w:val="24"/>
        </w:rPr>
      </w:pPr>
    </w:p>
    <w:p w14:paraId="60859F8E" w14:textId="033059C9" w:rsidR="000B4891" w:rsidRPr="00174620" w:rsidRDefault="00AF6153" w:rsidP="000F072C">
      <w:pPr>
        <w:jc w:val="center"/>
        <w:rPr>
          <w:rFonts w:asciiTheme="majorHAnsi" w:hAnsiTheme="majorHAnsi" w:cs="Courier New"/>
          <w:sz w:val="24"/>
          <w:szCs w:val="24"/>
        </w:rPr>
      </w:pPr>
      <w:sdt>
        <w:sdtPr>
          <w:rPr>
            <w:rFonts w:asciiTheme="majorHAnsi" w:hAnsiTheme="majorHAnsi" w:cs="Courier New"/>
            <w:sz w:val="24"/>
            <w:szCs w:val="24"/>
          </w:rPr>
          <w:id w:val="263662376"/>
          <w:placeholder>
            <w:docPart w:val="A98B1F26B213224298E68A40F0C3F7FA"/>
          </w:placeholder>
          <w:text/>
        </w:sdtPr>
        <w:sdtContent>
          <w:r w:rsidR="00CE2280" w:rsidRPr="00174620">
            <w:rPr>
              <w:rFonts w:asciiTheme="majorHAnsi" w:hAnsiTheme="majorHAnsi" w:cs="Courier New"/>
              <w:sz w:val="24"/>
              <w:szCs w:val="24"/>
            </w:rPr>
            <w:t xml:space="preserve">Jacob Montgomery, Washington University St Louis </w:t>
          </w:r>
          <w:r w:rsidR="00CE2280" w:rsidRPr="00174620">
            <w:rPr>
              <w:rFonts w:asciiTheme="majorHAnsi" w:hAnsiTheme="majorHAnsi" w:cs="Courier New"/>
              <w:sz w:val="24"/>
              <w:szCs w:val="24"/>
            </w:rPr>
            <w:br/>
            <w:t xml:space="preserve">Florian </w:t>
          </w:r>
          <w:r w:rsidR="003938B5" w:rsidRPr="00174620">
            <w:rPr>
              <w:rFonts w:asciiTheme="majorHAnsi" w:hAnsiTheme="majorHAnsi" w:cs="Courier New"/>
              <w:sz w:val="24"/>
              <w:szCs w:val="24"/>
            </w:rPr>
            <w:t xml:space="preserve">M. </w:t>
          </w:r>
          <w:proofErr w:type="spellStart"/>
          <w:r w:rsidR="00CE2280" w:rsidRPr="00174620">
            <w:rPr>
              <w:rFonts w:asciiTheme="majorHAnsi" w:hAnsiTheme="majorHAnsi" w:cs="Courier New"/>
              <w:sz w:val="24"/>
              <w:szCs w:val="24"/>
            </w:rPr>
            <w:t>Hollenbach</w:t>
          </w:r>
          <w:proofErr w:type="spellEnd"/>
          <w:r w:rsidR="00CE2280" w:rsidRPr="00174620">
            <w:rPr>
              <w:rFonts w:asciiTheme="majorHAnsi" w:hAnsiTheme="majorHAnsi" w:cs="Courier New"/>
              <w:sz w:val="24"/>
              <w:szCs w:val="24"/>
            </w:rPr>
            <w:t xml:space="preserve">, Duke University </w:t>
          </w:r>
          <w:r w:rsidR="00CE2280" w:rsidRPr="00174620">
            <w:rPr>
              <w:rFonts w:asciiTheme="majorHAnsi" w:hAnsiTheme="majorHAnsi" w:cs="Courier New"/>
              <w:sz w:val="24"/>
              <w:szCs w:val="24"/>
            </w:rPr>
            <w:br/>
            <w:t>Michael D. Ward, Duke University</w:t>
          </w:r>
        </w:sdtContent>
      </w:sdt>
    </w:p>
    <w:p w14:paraId="01470480" w14:textId="77777777" w:rsidR="00A1142D" w:rsidRPr="00174620" w:rsidRDefault="00A1142D" w:rsidP="000F072C">
      <w:pPr>
        <w:jc w:val="center"/>
        <w:rPr>
          <w:rFonts w:asciiTheme="majorHAnsi" w:hAnsiTheme="majorHAnsi" w:cs="Courier New"/>
          <w:sz w:val="24"/>
          <w:szCs w:val="24"/>
        </w:rPr>
      </w:pPr>
    </w:p>
    <w:p w14:paraId="1C8443EC" w14:textId="77777777" w:rsidR="00A1142D" w:rsidRPr="00174620" w:rsidRDefault="00A1142D" w:rsidP="000F072C">
      <w:pPr>
        <w:jc w:val="center"/>
        <w:rPr>
          <w:rFonts w:asciiTheme="majorHAnsi" w:hAnsiTheme="majorHAnsi" w:cs="Courier New"/>
          <w:sz w:val="24"/>
          <w:szCs w:val="24"/>
        </w:rPr>
      </w:pPr>
    </w:p>
    <w:p w14:paraId="67AC6916" w14:textId="4D57ABB6" w:rsidR="0065040B" w:rsidRPr="00174620" w:rsidRDefault="00BF4936" w:rsidP="00CE2280">
      <w:pPr>
        <w:pStyle w:val="Manuscriptparagraph"/>
        <w:rPr>
          <w:rFonts w:asciiTheme="majorHAnsi" w:hAnsiTheme="majorHAnsi"/>
        </w:rPr>
      </w:pPr>
      <w:r w:rsidRPr="00174620">
        <w:rPr>
          <w:rFonts w:asciiTheme="majorHAnsi" w:hAnsiTheme="majorHAnsi"/>
        </w:rPr>
        <w:t>Since at least 1996</w:t>
      </w:r>
      <w:r w:rsidR="00C0462E" w:rsidRPr="00174620">
        <w:rPr>
          <w:rFonts w:asciiTheme="majorHAnsi" w:hAnsiTheme="majorHAnsi"/>
        </w:rPr>
        <w:t xml:space="preserve"> </w:t>
      </w:r>
      <w:r w:rsidRPr="00174620">
        <w:rPr>
          <w:rFonts w:asciiTheme="majorHAnsi" w:hAnsiTheme="majorHAnsi"/>
        </w:rPr>
        <w:t xml:space="preserve">political scientists have been </w:t>
      </w:r>
      <w:r w:rsidR="007B53D4" w:rsidRPr="00174620">
        <w:rPr>
          <w:rFonts w:asciiTheme="majorHAnsi" w:hAnsiTheme="majorHAnsi"/>
        </w:rPr>
        <w:t>generating</w:t>
      </w:r>
      <w:r w:rsidRPr="00174620">
        <w:rPr>
          <w:rFonts w:asciiTheme="majorHAnsi" w:hAnsiTheme="majorHAnsi"/>
        </w:rPr>
        <w:t xml:space="preserve"> true out-of-sample predictions of Presidential elections, and since the 2004 Presidential election this journal has presented comparisons of </w:t>
      </w:r>
      <w:r w:rsidR="00174620" w:rsidRPr="00174620">
        <w:rPr>
          <w:rFonts w:asciiTheme="majorHAnsi" w:hAnsiTheme="majorHAnsi"/>
        </w:rPr>
        <w:t>various forecasting models</w:t>
      </w:r>
      <w:r w:rsidRPr="00174620">
        <w:rPr>
          <w:rFonts w:asciiTheme="majorHAnsi" w:hAnsiTheme="majorHAnsi"/>
        </w:rPr>
        <w:t xml:space="preserve">, published prior to the election.  The spirit of these symposia </w:t>
      </w:r>
      <w:r w:rsidR="00174620" w:rsidRPr="00174620">
        <w:rPr>
          <w:rFonts w:asciiTheme="majorHAnsi" w:hAnsiTheme="majorHAnsi"/>
        </w:rPr>
        <w:t xml:space="preserve">is </w:t>
      </w:r>
      <w:r w:rsidRPr="00174620">
        <w:rPr>
          <w:rFonts w:asciiTheme="majorHAnsi" w:hAnsiTheme="majorHAnsi"/>
        </w:rPr>
        <w:t>to use the validation</w:t>
      </w:r>
      <w:r w:rsidR="007B53D4" w:rsidRPr="00174620">
        <w:rPr>
          <w:rFonts w:asciiTheme="majorHAnsi" w:hAnsiTheme="majorHAnsi"/>
        </w:rPr>
        <w:t xml:space="preserve"> provided by </w:t>
      </w:r>
      <w:r w:rsidRPr="00174620">
        <w:rPr>
          <w:rFonts w:asciiTheme="majorHAnsi" w:hAnsiTheme="majorHAnsi"/>
        </w:rPr>
        <w:t xml:space="preserve">correct predictions to </w:t>
      </w:r>
      <w:r w:rsidR="007B53D4" w:rsidRPr="00174620">
        <w:rPr>
          <w:rFonts w:asciiTheme="majorHAnsi" w:hAnsiTheme="majorHAnsi"/>
        </w:rPr>
        <w:t xml:space="preserve">claim </w:t>
      </w:r>
      <w:r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r w:rsidR="005C58FB" w:rsidRPr="00174620">
        <w:rPr>
          <w:rFonts w:asciiTheme="majorHAnsi" w:hAnsiTheme="majorHAnsi"/>
        </w:rPr>
        <w:t>specific</w:t>
      </w:r>
      <w:r w:rsidR="0065040B" w:rsidRPr="00174620">
        <w:rPr>
          <w:rFonts w:asciiTheme="majorHAnsi" w:hAnsiTheme="majorHAnsi"/>
        </w:rPr>
        <w:t xml:space="preserve"> models</w:t>
      </w:r>
      <w:r w:rsidR="007B53D4" w:rsidRPr="00174620">
        <w:rPr>
          <w:rFonts w:asciiTheme="majorHAnsi" w:hAnsiTheme="majorHAnsi"/>
        </w:rPr>
        <w:t xml:space="preserve">. </w:t>
      </w:r>
      <w:r w:rsidR="00174620" w:rsidRPr="00174620">
        <w:rPr>
          <w:rFonts w:asciiTheme="majorHAnsi" w:hAnsiTheme="majorHAnsi"/>
        </w:rPr>
        <w:t>T</w:t>
      </w:r>
      <w:r w:rsidR="007B53D4" w:rsidRPr="00174620">
        <w:rPr>
          <w:rFonts w:asciiTheme="majorHAnsi" w:hAnsiTheme="majorHAnsi"/>
        </w:rPr>
        <w:t xml:space="preserve">he underlying </w:t>
      </w:r>
      <w:r w:rsidR="00CB5CA3" w:rsidRPr="00174620">
        <w:rPr>
          <w:rFonts w:asciiTheme="majorHAnsi" w:hAnsiTheme="majorHAnsi"/>
        </w:rPr>
        <w:t>assertion</w:t>
      </w:r>
      <w:r w:rsidR="007B53D4" w:rsidRPr="00174620">
        <w:rPr>
          <w:rFonts w:asciiTheme="majorHAnsi" w:hAnsiTheme="majorHAnsi"/>
        </w:rPr>
        <w:t xml:space="preserve"> is that </w:t>
      </w:r>
      <w:r w:rsidR="0065040B" w:rsidRPr="00174620">
        <w:rPr>
          <w:rFonts w:asciiTheme="majorHAnsi" w:hAnsiTheme="majorHAnsi"/>
        </w:rPr>
        <w:t xml:space="preserve">models that are accurate </w:t>
      </w:r>
      <w:r w:rsidR="007B53D4" w:rsidRPr="00174620">
        <w:rPr>
          <w:rFonts w:asciiTheme="majorHAnsi" w:hAnsiTheme="majorHAnsi"/>
        </w:rPr>
        <w:t>out-of-sample</w:t>
      </w:r>
      <w:r w:rsidR="00174620" w:rsidRPr="00174620">
        <w:rPr>
          <w:rFonts w:asciiTheme="majorHAnsi" w:hAnsiTheme="majorHAnsi"/>
        </w:rPr>
        <w:t xml:space="preserve"> 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Pr="00174620">
        <w:rPr>
          <w:rFonts w:asciiTheme="majorHAnsi" w:hAnsiTheme="majorHAnsi"/>
        </w:rPr>
        <w:t xml:space="preserve"> </w:t>
      </w:r>
    </w:p>
    <w:p w14:paraId="1EAB2644" w14:textId="77777777" w:rsidR="00174620" w:rsidRPr="00174620" w:rsidRDefault="00CB5CA3" w:rsidP="00CB5CA3">
      <w:pPr>
        <w:pStyle w:val="Manuscriptparagraph"/>
        <w:ind w:firstLine="720"/>
        <w:rPr>
          <w:rFonts w:asciiTheme="majorHAnsi" w:hAnsiTheme="majorHAnsi"/>
        </w:rPr>
      </w:pPr>
      <w:r w:rsidRPr="00174620">
        <w:rPr>
          <w:rFonts w:asciiTheme="majorHAnsi" w:hAnsiTheme="majorHAnsi"/>
        </w:rPr>
        <w:t>Thus, o</w:t>
      </w:r>
      <w:r w:rsidR="005C58FB" w:rsidRPr="00174620">
        <w:rPr>
          <w:rFonts w:asciiTheme="majorHAnsi" w:hAnsiTheme="majorHAnsi"/>
        </w:rPr>
        <w:t>ne</w:t>
      </w:r>
      <w:r w:rsidR="0065040B" w:rsidRPr="00174620">
        <w:rPr>
          <w:rFonts w:asciiTheme="majorHAnsi" w:hAnsiTheme="majorHAnsi"/>
        </w:rPr>
        <w:t xml:space="preserve"> aim of this exercise </w:t>
      </w:r>
      <w:r w:rsidR="00F8127A" w:rsidRPr="00174620">
        <w:rPr>
          <w:rFonts w:asciiTheme="majorHAnsi" w:hAnsiTheme="majorHAnsi"/>
        </w:rPr>
        <w:t xml:space="preserve">is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r w:rsidR="005C58FB" w:rsidRPr="00174620">
        <w:rPr>
          <w:rFonts w:asciiTheme="majorHAnsi" w:hAnsiTheme="majorHAnsi"/>
        </w:rPr>
        <w:t xml:space="preserve">The main </w:t>
      </w:r>
      <w:r w:rsidR="00F8127A" w:rsidRPr="00174620">
        <w:rPr>
          <w:rFonts w:asciiTheme="majorHAnsi" w:hAnsiTheme="majorHAnsi"/>
        </w:rPr>
        <w:t>heuristic</w:t>
      </w:r>
      <w:r w:rsidR="005C58FB" w:rsidRPr="00174620">
        <w:rPr>
          <w:rFonts w:asciiTheme="majorHAnsi" w:hAnsiTheme="majorHAnsi"/>
        </w:rPr>
        <w:t>s</w:t>
      </w:r>
      <w:r w:rsidR="0065040B" w:rsidRPr="00174620">
        <w:rPr>
          <w:rFonts w:asciiTheme="majorHAnsi" w:hAnsiTheme="majorHAnsi"/>
        </w:rPr>
        <w:t xml:space="preserve"> for </w:t>
      </w:r>
      <w:r w:rsidRPr="00174620">
        <w:rPr>
          <w:rFonts w:asciiTheme="majorHAnsi" w:hAnsiTheme="majorHAnsi"/>
        </w:rPr>
        <w:t>comparative</w:t>
      </w:r>
      <w:r w:rsidR="0065040B" w:rsidRPr="00174620">
        <w:rPr>
          <w:rFonts w:asciiTheme="majorHAnsi" w:hAnsiTheme="majorHAnsi"/>
        </w:rPr>
        <w:t xml:space="preserve"> evaluation</w:t>
      </w:r>
      <w:r w:rsidR="00F8127A" w:rsidRPr="00174620">
        <w:rPr>
          <w:rFonts w:asciiTheme="majorHAnsi" w:hAnsiTheme="majorHAnsi"/>
        </w:rPr>
        <w:t xml:space="preserve"> is how well </w:t>
      </w:r>
      <w:r w:rsidRPr="00174620">
        <w:rPr>
          <w:rFonts w:asciiTheme="majorHAnsi" w:hAnsiTheme="majorHAnsi"/>
        </w:rPr>
        <w:t>each model does in</w:t>
      </w:r>
      <w:r w:rsidR="00F8127A" w:rsidRPr="00174620">
        <w:rPr>
          <w:rFonts w:asciiTheme="majorHAnsi" w:hAnsiTheme="majorHAnsi"/>
        </w:rPr>
        <w:t xml:space="preserve"> predicting the electoral results in upcomin</w:t>
      </w:r>
      <w:r w:rsidR="005C58FB" w:rsidRPr="00174620">
        <w:rPr>
          <w:rFonts w:asciiTheme="majorHAnsi" w:hAnsiTheme="majorHAnsi"/>
        </w:rPr>
        <w:t>g election</w:t>
      </w:r>
      <w:r w:rsidRPr="00174620">
        <w:rPr>
          <w:rFonts w:asciiTheme="majorHAnsi" w:hAnsiTheme="majorHAnsi"/>
        </w:rPr>
        <w:t xml:space="preserve"> (with some attention given to each model’s</w:t>
      </w:r>
      <w:r w:rsidR="005C58FB" w:rsidRPr="00174620">
        <w:rPr>
          <w:rFonts w:asciiTheme="majorHAnsi" w:hAnsiTheme="majorHAnsi"/>
        </w:rPr>
        <w:t xml:space="preserve"> inherent plausibility, </w:t>
      </w:r>
      <w:r w:rsidRPr="00174620">
        <w:rPr>
          <w:rFonts w:asciiTheme="majorHAnsi" w:hAnsiTheme="majorHAnsi"/>
        </w:rPr>
        <w:t xml:space="preserve">parsimony, and beauty). </w:t>
      </w:r>
    </w:p>
    <w:p w14:paraId="0F4EAA35" w14:textId="37633777"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entirely different. Rather than search for the best model, </w:t>
      </w:r>
      <w:r w:rsidR="00CB5CA3" w:rsidRPr="00174620">
        <w:rPr>
          <w:rFonts w:asciiTheme="majorHAnsi" w:hAnsiTheme="majorHAnsi"/>
        </w:rPr>
        <w:t>theory, or conceptualization of electoral politics</w:t>
      </w:r>
      <w:r w:rsidRPr="00174620">
        <w:rPr>
          <w:rFonts w:asciiTheme="majorHAnsi" w:hAnsiTheme="majorHAnsi"/>
        </w:rPr>
        <w:t xml:space="preserve">, we instead are looking </w:t>
      </w:r>
      <w:r w:rsidR="00E45533" w:rsidRPr="00174620">
        <w:rPr>
          <w:rFonts w:asciiTheme="majorHAnsi" w:hAnsiTheme="majorHAnsi"/>
        </w:rPr>
        <w:t xml:space="preserve">to create </w:t>
      </w:r>
      <w:r w:rsidRPr="00174620">
        <w:rPr>
          <w:rFonts w:asciiTheme="majorHAnsi" w:hAnsiTheme="majorHAnsi"/>
        </w:rPr>
        <w:t>the best prediction</w:t>
      </w:r>
      <w:r w:rsidR="00E45533" w:rsidRPr="00174620">
        <w:rPr>
          <w:rFonts w:asciiTheme="majorHAnsi" w:hAnsiTheme="majorHAnsi"/>
        </w:rPr>
        <w:t xml:space="preserve"> by </w:t>
      </w:r>
      <w:r w:rsidR="00E83B88" w:rsidRPr="00174620">
        <w:rPr>
          <w:rFonts w:asciiTheme="majorHAnsi" w:hAnsiTheme="majorHAnsi"/>
        </w:rPr>
        <w:t>combining</w:t>
      </w:r>
      <w:r w:rsidR="00E45533" w:rsidRPr="00174620">
        <w:rPr>
          <w:rFonts w:asciiTheme="majorHAnsi" w:hAnsiTheme="majorHAnsi"/>
        </w:rPr>
        <w:t xml:space="preserve"> models</w:t>
      </w:r>
      <w:r w:rsidRPr="00174620">
        <w:rPr>
          <w:rFonts w:asciiTheme="majorHAnsi" w:hAnsiTheme="majorHAnsi"/>
        </w:rPr>
        <w:t xml:space="preserve">. </w:t>
      </w:r>
      <w:r w:rsidR="00CB5CA3" w:rsidRPr="00174620">
        <w:rPr>
          <w:rFonts w:asciiTheme="majorHAnsi" w:hAnsiTheme="majorHAnsi"/>
        </w:rPr>
        <w:t>Q</w:t>
      </w:r>
      <w:r w:rsidRPr="00174620">
        <w:rPr>
          <w:rFonts w:asciiTheme="majorHAnsi" w:hAnsiTheme="majorHAnsi"/>
        </w:rPr>
        <w:t xml:space="preserve">uite simply we </w:t>
      </w:r>
      <w:r w:rsidR="00D00CD8" w:rsidRPr="00174620">
        <w:rPr>
          <w:rFonts w:asciiTheme="majorHAnsi" w:hAnsiTheme="majorHAnsi"/>
        </w:rPr>
        <w:t xml:space="preserve">want to </w:t>
      </w:r>
      <w:r w:rsidR="00CB5CA3" w:rsidRPr="00174620">
        <w:rPr>
          <w:rFonts w:asciiTheme="majorHAnsi" w:hAnsiTheme="majorHAnsi"/>
        </w:rPr>
        <w:t xml:space="preserve">make use of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the</w:t>
      </w:r>
      <w:r w:rsidR="00D00CD8" w:rsidRPr="00174620">
        <w:rPr>
          <w:rFonts w:asciiTheme="majorHAnsi" w:hAnsiTheme="majorHAnsi"/>
        </w:rPr>
        <w:t xml:space="preserve"> most accurate out-of-sample predictions.  </w:t>
      </w:r>
      <w:r w:rsidR="00CB5CA3" w:rsidRPr="00174620">
        <w:rPr>
          <w:rFonts w:asciiTheme="majorHAnsi" w:hAnsiTheme="majorHAnsi"/>
        </w:rPr>
        <w:t xml:space="preserve">Without attempting to arbitrate between models and theories, our aim is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 xml:space="preserve">them solely </w:t>
      </w:r>
      <w:r w:rsidR="00CB5CA3" w:rsidRPr="00174620">
        <w:rPr>
          <w:rFonts w:asciiTheme="majorHAnsi" w:hAnsiTheme="majorHAnsi"/>
        </w:rPr>
        <w:t xml:space="preserve">with an eye towards increasing our chances of getting </w:t>
      </w:r>
      <w:r w:rsidR="00FF0B51" w:rsidRPr="00174620">
        <w:rPr>
          <w:rFonts w:asciiTheme="majorHAnsi" w:hAnsiTheme="majorHAnsi"/>
        </w:rPr>
        <w:t>it right.</w:t>
      </w:r>
    </w:p>
    <w:p w14:paraId="6EEC4015" w14:textId="25136DB3" w:rsidR="00F8127A" w:rsidRPr="00174620" w:rsidRDefault="00D00CD8" w:rsidP="00CB5CA3">
      <w:pPr>
        <w:pStyle w:val="Manuscriptparagraph"/>
        <w:ind w:firstLine="720"/>
        <w:rPr>
          <w:rFonts w:asciiTheme="majorHAnsi" w:hAnsiTheme="majorHAnsi"/>
        </w:rPr>
      </w:pPr>
      <w:r w:rsidRPr="00174620">
        <w:rPr>
          <w:rFonts w:asciiTheme="majorHAnsi" w:hAnsiTheme="majorHAnsi"/>
        </w:rPr>
        <w:t xml:space="preserve">To do this, without creating a new theory or introducing a new specification, we rely on the extant models. We believe that each of these models captures an important set of </w:t>
      </w:r>
      <w:r w:rsidRPr="00174620">
        <w:rPr>
          <w:rFonts w:asciiTheme="majorHAnsi" w:hAnsiTheme="majorHAnsi"/>
        </w:rPr>
        <w:lastRenderedPageBreak/>
        <w:t xml:space="preserve">insights about US electoral behavior, and each has been rigorously tested not only statistically, but also via a predictive heuristic. Therefore, our approach will attempt to combine the insights of each model into a single predictive </w:t>
      </w:r>
      <w:r w:rsidR="00252BF2" w:rsidRPr="00174620">
        <w:rPr>
          <w:rFonts w:asciiTheme="majorHAnsi" w:hAnsiTheme="majorHAnsi"/>
        </w:rPr>
        <w:t xml:space="preserve">ensemble </w:t>
      </w:r>
      <w:r w:rsidRPr="00174620">
        <w:rPr>
          <w:rFonts w:asciiTheme="majorHAnsi" w:hAnsiTheme="majorHAnsi"/>
        </w:rPr>
        <w:t xml:space="preserve">model. It doesn’t matter to our approach if one model </w:t>
      </w:r>
      <w:r w:rsidR="00AE0DFD" w:rsidRPr="00174620">
        <w:rPr>
          <w:rFonts w:asciiTheme="majorHAnsi" w:hAnsiTheme="majorHAnsi"/>
        </w:rPr>
        <w:t>“</w:t>
      </w:r>
      <w:r w:rsidRPr="00174620">
        <w:rPr>
          <w:rFonts w:asciiTheme="majorHAnsi" w:hAnsiTheme="majorHAnsi"/>
        </w:rPr>
        <w:t>substantively</w:t>
      </w:r>
      <w:r w:rsidR="00AE0DFD" w:rsidRPr="00174620">
        <w:rPr>
          <w:rFonts w:asciiTheme="majorHAnsi" w:hAnsiTheme="majorHAnsi"/>
        </w:rPr>
        <w:t>”</w:t>
      </w:r>
      <w:r w:rsidRPr="00174620">
        <w:rPr>
          <w:rFonts w:asciiTheme="majorHAnsi" w:hAnsiTheme="majorHAnsi"/>
        </w:rPr>
        <w:t xml:space="preserve"> refutes another. 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p>
    <w:p w14:paraId="25067BD4" w14:textId="04C92865" w:rsidR="00CA58B9" w:rsidRPr="00CA58B9" w:rsidRDefault="00CA58B9" w:rsidP="00CE2280">
      <w:pPr>
        <w:pStyle w:val="Manuscriptparagraph"/>
        <w:rPr>
          <w:rFonts w:asciiTheme="majorHAnsi" w:hAnsiTheme="majorHAnsi"/>
          <w:b/>
        </w:rPr>
      </w:pPr>
      <w:r>
        <w:rPr>
          <w:rFonts w:asciiTheme="majorHAnsi" w:hAnsiTheme="majorHAnsi"/>
          <w:b/>
        </w:rPr>
        <w:t>Ensemble Bayesian Model Averaging</w:t>
      </w:r>
    </w:p>
    <w:p w14:paraId="78635BA3" w14:textId="1298DD11" w:rsidR="00F8127A" w:rsidRPr="00174620" w:rsidRDefault="00174620" w:rsidP="00CE2280">
      <w:pPr>
        <w:pStyle w:val="Manuscriptparagraph"/>
        <w:rPr>
          <w:rFonts w:asciiTheme="majorHAnsi" w:hAnsiTheme="majorHAnsi"/>
        </w:rPr>
      </w:pPr>
      <w:r>
        <w:rPr>
          <w:rFonts w:asciiTheme="majorHAnsi" w:hAnsiTheme="majorHAnsi"/>
        </w:rPr>
        <w:tab/>
        <w:t xml:space="preserve">The approach we use, </w:t>
      </w:r>
      <w:r w:rsidR="00D00CD8" w:rsidRPr="00174620">
        <w:rPr>
          <w:rFonts w:asciiTheme="majorHAnsi" w:hAnsiTheme="majorHAnsi"/>
        </w:rPr>
        <w:t>Ens</w:t>
      </w:r>
      <w:r>
        <w:rPr>
          <w:rFonts w:asciiTheme="majorHAnsi" w:hAnsiTheme="majorHAnsi"/>
        </w:rPr>
        <w:t>emble Bayesian Model Averaging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 was</w:t>
      </w:r>
      <w:r w:rsidR="00D00CD8" w:rsidRPr="00174620">
        <w:rPr>
          <w:rFonts w:asciiTheme="majorHAnsi" w:hAnsiTheme="majorHAnsi"/>
        </w:rPr>
        <w:t xml:space="preserve"> developed recently in th</w:t>
      </w:r>
      <w:r w:rsidR="000B2F84" w:rsidRPr="00174620">
        <w:rPr>
          <w:rFonts w:asciiTheme="majorHAnsi" w:hAnsiTheme="majorHAnsi"/>
        </w:rPr>
        <w:t xml:space="preserve">e field of weather forecasting as a way of </w:t>
      </w:r>
      <w:r w:rsidR="00C2180B" w:rsidRPr="00174620">
        <w:rPr>
          <w:rFonts w:asciiTheme="majorHAnsi" w:hAnsiTheme="majorHAnsi"/>
        </w:rPr>
        <w:t xml:space="preserve">improving predictions by aggregating across models. </w:t>
      </w:r>
      <w:r>
        <w:rPr>
          <w:rFonts w:asciiTheme="majorHAnsi" w:hAnsiTheme="majorHAnsi"/>
        </w:rPr>
        <w:t>The core intuition is that there is probably no true “best” model for predicting outcomes of complex systems like the weather.  S</w:t>
      </w:r>
      <w:r w:rsidR="00C2180B" w:rsidRPr="00174620">
        <w:rPr>
          <w:rFonts w:asciiTheme="majorHAnsi" w:hAnsiTheme="majorHAnsi"/>
        </w:rPr>
        <w:t>ome weather models might be better at predic</w:t>
      </w:r>
      <w:r>
        <w:rPr>
          <w:rFonts w:asciiTheme="majorHAnsi" w:hAnsiTheme="majorHAnsi"/>
        </w:rPr>
        <w:t xml:space="preserve">ting “normal” weather patterns while </w:t>
      </w:r>
      <w:r w:rsidR="00C2180B" w:rsidRPr="00174620">
        <w:rPr>
          <w:rFonts w:asciiTheme="majorHAnsi" w:hAnsiTheme="majorHAnsi"/>
        </w:rPr>
        <w:t>others</w:t>
      </w:r>
      <w:r>
        <w:rPr>
          <w:rFonts w:asciiTheme="majorHAnsi" w:hAnsiTheme="majorHAnsi"/>
        </w:rPr>
        <w:t xml:space="preserve"> are</w:t>
      </w:r>
      <w:r w:rsidR="00C2180B" w:rsidRPr="00174620">
        <w:rPr>
          <w:rFonts w:asciiTheme="majorHAnsi" w:hAnsiTheme="majorHAnsi"/>
        </w:rPr>
        <w:t xml:space="preserve"> better for rapidly changing conditions</w:t>
      </w:r>
      <w:r>
        <w:rPr>
          <w:rFonts w:asciiTheme="majorHAnsi" w:hAnsiTheme="majorHAnsi"/>
        </w:rPr>
        <w:t xml:space="preserve">.  </w:t>
      </w:r>
      <w:r w:rsidR="00C2180B" w:rsidRPr="00174620">
        <w:rPr>
          <w:rFonts w:asciiTheme="majorHAnsi" w:hAnsiTheme="majorHAnsi"/>
        </w:rPr>
        <w:t xml:space="preserve">By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models, we can</w:t>
      </w:r>
      <w:r w:rsidR="00C2180B" w:rsidRPr="00174620">
        <w:rPr>
          <w:rFonts w:asciiTheme="majorHAnsi" w:hAnsiTheme="majorHAnsi"/>
        </w:rPr>
        <w:t xml:space="preserve"> be more accurate</w:t>
      </w:r>
      <w:r>
        <w:rPr>
          <w:rFonts w:asciiTheme="majorHAnsi" w:hAnsiTheme="majorHAnsi"/>
        </w:rPr>
        <w:t>,</w:t>
      </w:r>
      <w:r w:rsidR="00C2180B" w:rsidRPr="00174620">
        <w:rPr>
          <w:rFonts w:asciiTheme="majorHAnsi" w:hAnsiTheme="majorHAnsi"/>
        </w:rPr>
        <w:t xml:space="preserve"> even without having chosen the “best model.”  </w:t>
      </w:r>
    </w:p>
    <w:p w14:paraId="01FD9DD9" w14:textId="35DFF39E"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uses the predictive performance of the included component models on some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 individual component model. The EBMA prediction is then a kind of weighted average of the predictions made by </w:t>
      </w:r>
      <w:r w:rsidR="00BE2AA5" w:rsidRPr="00174620">
        <w:rPr>
          <w:rFonts w:asciiTheme="majorHAnsi" w:hAnsiTheme="majorHAnsi"/>
        </w:rPr>
        <w:t xml:space="preserve">each of </w:t>
      </w:r>
      <w:r w:rsidR="008F149B" w:rsidRPr="00174620">
        <w:rPr>
          <w:rFonts w:asciiTheme="majorHAnsi" w:hAnsiTheme="majorHAnsi"/>
        </w:rPr>
        <w:t>the component models.</w:t>
      </w:r>
      <w:r w:rsidR="00E83B88" w:rsidRPr="00174620">
        <w:rPr>
          <w:rStyle w:val="FootnoteReference"/>
          <w:rFonts w:asciiTheme="majorHAnsi" w:hAnsiTheme="majorHAnsi"/>
        </w:rPr>
        <w:footnoteReference w:id="1"/>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will give more weight to models that have been more accurate in the </w:t>
      </w:r>
      <w:r w:rsidR="0058526D" w:rsidRPr="00174620">
        <w:rPr>
          <w:rFonts w:asciiTheme="majorHAnsi" w:hAnsiTheme="majorHAnsi"/>
          <w:i/>
        </w:rPr>
        <w:t>calibration</w:t>
      </w:r>
      <w:r w:rsidR="003938B5" w:rsidRPr="00174620">
        <w:rPr>
          <w:rFonts w:asciiTheme="majorHAnsi" w:hAnsiTheme="majorHAnsi"/>
          <w:i/>
        </w:rPr>
        <w:t xml:space="preserve"> </w:t>
      </w:r>
      <w:r w:rsidR="003938B5" w:rsidRPr="00174620">
        <w:rPr>
          <w:rFonts w:asciiTheme="majorHAnsi" w:hAnsiTheme="majorHAnsi"/>
        </w:rPr>
        <w:t xml:space="preserve">period, as well as those models that make more </w:t>
      </w:r>
      <w:r w:rsidR="003938B5" w:rsidRPr="00174620">
        <w:rPr>
          <w:rFonts w:asciiTheme="majorHAnsi" w:hAnsiTheme="majorHAnsi"/>
        </w:rPr>
        <w:lastRenderedPageBreak/>
        <w:t>unique predictions.</w:t>
      </w:r>
      <w:r w:rsidR="003938B5" w:rsidRPr="00174620">
        <w:rPr>
          <w:rStyle w:val="FootnoteReference"/>
          <w:rFonts w:asciiTheme="majorHAnsi" w:hAnsiTheme="majorHAnsi"/>
        </w:rPr>
        <w:footnoteReference w:id="2"/>
      </w:r>
      <w:r w:rsidR="00D2686E" w:rsidRPr="00174620">
        <w:rPr>
          <w:rFonts w:asciiTheme="majorHAnsi" w:hAnsiTheme="majorHAnsi"/>
        </w:rPr>
        <w:t xml:space="preserve"> One strong advantage of EBM</w:t>
      </w:r>
      <w:r w:rsidR="00611989" w:rsidRPr="00174620">
        <w:rPr>
          <w:rFonts w:asciiTheme="majorHAnsi" w:hAnsiTheme="majorHAnsi"/>
        </w:rPr>
        <w:t>A is that it only requires each component’s predictions as input, but no</w:t>
      </w:r>
      <w:r w:rsidR="00AF2DF5" w:rsidRPr="00174620">
        <w:rPr>
          <w:rFonts w:asciiTheme="majorHAnsi" w:hAnsiTheme="majorHAnsi"/>
        </w:rPr>
        <w:t>t the model</w:t>
      </w:r>
      <w:r w:rsidR="0058526D" w:rsidRPr="00174620">
        <w:rPr>
          <w:rFonts w:asciiTheme="majorHAnsi" w:hAnsiTheme="majorHAnsi"/>
        </w:rPr>
        <w:t>’</w:t>
      </w:r>
      <w:r w:rsidR="00AF2DF5" w:rsidRPr="00174620">
        <w:rPr>
          <w:rFonts w:asciiTheme="majorHAnsi" w:hAnsiTheme="majorHAnsi"/>
        </w:rPr>
        <w:t xml:space="preserve">s </w:t>
      </w:r>
      <w:r w:rsidR="00611989" w:rsidRPr="00174620">
        <w:rPr>
          <w:rFonts w:asciiTheme="majorHAnsi" w:hAnsiTheme="majorHAnsi"/>
        </w:rPr>
        <w:t>covariates. It is thus possible to use 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BE2AA5" w:rsidRPr="00174620">
        <w:rPr>
          <w:rFonts w:asciiTheme="majorHAnsi" w:hAnsiTheme="majorHAnsi"/>
        </w:rPr>
        <w:t xml:space="preserve"> agent based models</w:t>
      </w:r>
      <w:r w:rsidR="00611989" w:rsidRPr="00174620">
        <w:rPr>
          <w:rFonts w:asciiTheme="majorHAnsi" w:hAnsiTheme="majorHAnsi"/>
        </w:rPr>
        <w:t xml:space="preserve">. </w:t>
      </w:r>
    </w:p>
    <w:p w14:paraId="341F5CE5" w14:textId="323B8B7E" w:rsidR="00CA58B9" w:rsidRPr="00CA58B9" w:rsidRDefault="00CA58B9" w:rsidP="00CE2280">
      <w:pPr>
        <w:pStyle w:val="Manuscriptparagraph"/>
        <w:rPr>
          <w:rFonts w:asciiTheme="majorHAnsi" w:hAnsiTheme="majorHAnsi"/>
          <w:b/>
        </w:rPr>
      </w:pPr>
      <w:r>
        <w:rPr>
          <w:rFonts w:asciiTheme="majorHAnsi" w:hAnsiTheme="majorHAnsi"/>
          <w:b/>
        </w:rPr>
        <w:t>Mathematical intuition</w:t>
      </w:r>
    </w:p>
    <w:p w14:paraId="4F4E20D1" w14:textId="1002D260" w:rsidR="00BE2AA5" w:rsidRPr="00174620"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r w:rsidR="00557C5B" w:rsidRPr="00174620">
        <w:rPr>
          <w:rStyle w:val="FootnoteReference"/>
          <w:rFonts w:asciiTheme="majorHAnsi" w:hAnsiTheme="majorHAnsi"/>
        </w:rPr>
        <w:footnoteReference w:id="3"/>
      </w:r>
      <w:r w:rsidR="00C2180B" w:rsidRPr="00174620">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Each component model comes from a prior distribu</w:t>
      </w:r>
      <w:r w:rsidR="00557C5B" w:rsidRPr="00174620">
        <w:rPr>
          <w:rFonts w:asciiTheme="majorHAnsi" w:hAnsiTheme="majorHAnsi"/>
        </w:rPr>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BE2AA5" w:rsidRPr="00174620">
        <w:rPr>
          <w:rFonts w:asciiTheme="majorHAnsi" w:hAnsiTheme="majorHAnsi"/>
        </w:rPr>
        <w:t>With the help of simple math and</w:t>
      </w:r>
      <w:r w:rsidR="00DA652F" w:rsidRPr="00174620">
        <w:rPr>
          <w:rFonts w:asciiTheme="majorHAnsi" w:hAnsiTheme="majorHAnsi"/>
        </w:rPr>
        <w:t xml:space="preserve"> Bayes’ rule</w:t>
      </w:r>
      <w:r w:rsidR="005B27F6" w:rsidRPr="00174620">
        <w:rPr>
          <w:rFonts w:asciiTheme="majorHAnsi" w:hAnsiTheme="majorHAnsi"/>
        </w:rPr>
        <w:t>,</w:t>
      </w:r>
      <w:r w:rsidR="00DA652F" w:rsidRPr="00174620">
        <w:rPr>
          <w:rFonts w:asciiTheme="majorHAnsi" w:hAnsiTheme="majorHAnsi"/>
        </w:rPr>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given the k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w:proofErr w:type="gramStart"/>
            <m:r>
              <w:rPr>
                <w:rFonts w:ascii="Cambria Math" w:hAnsi="Cambria Math"/>
              </w:rPr>
              <m:t>p(</m:t>
            </m:r>
            <w:proofErr w:type="gramEnd"/>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0F58A5" w:rsidRPr="00174620">
        <w:rPr>
          <w:rFonts w:asciiTheme="majorHAnsi" w:hAnsiTheme="majorHAnsi"/>
        </w:rPr>
        <w:t xml:space="preserve"> </w:t>
      </w:r>
    </w:p>
    <w:p w14:paraId="1D7C1F0E" w14:textId="5F4FA2D5" w:rsidR="005B27F6" w:rsidRPr="00174620" w:rsidRDefault="000F58A5" w:rsidP="005B27F6">
      <w:pPr>
        <w:pStyle w:val="Manuscriptparagraph"/>
        <w:ind w:firstLine="720"/>
        <w:rPr>
          <w:rFonts w:asciiTheme="majorHAnsi" w:hAnsiTheme="majorHAnsi"/>
        </w:rPr>
      </w:pPr>
      <w:r w:rsidRPr="00174620">
        <w:rPr>
          <w:rFonts w:asciiTheme="majorHAnsi" w:hAnsiTheme="majorHAnsi"/>
        </w:rPr>
        <w:t xml:space="preserve">Applying the EBMA to the example of presidential election forecasting, we use the in-sample predictions of each component model to calibrate </w:t>
      </w:r>
      <w:r w:rsidR="00AF6153">
        <w:rPr>
          <w:rFonts w:asciiTheme="majorHAnsi" w:hAnsiTheme="majorHAnsi"/>
        </w:rPr>
        <w:t xml:space="preserve">the model weights for </w:t>
      </w:r>
      <w:r w:rsidRPr="00174620">
        <w:rPr>
          <w:rFonts w:asciiTheme="majorHAnsi" w:hAnsiTheme="majorHAnsi"/>
        </w:rPr>
        <w:t xml:space="preserve">the EBMA model. Thus we have </w:t>
      </w:r>
      <w:r w:rsidR="005B27F6" w:rsidRPr="00174620">
        <w:rPr>
          <w:rFonts w:asciiTheme="majorHAnsi" w:hAnsiTheme="majorHAnsi"/>
        </w:rPr>
        <w:t>1</w:t>
      </w:r>
      <w:r w:rsidR="00140C92">
        <w:rPr>
          <w:rFonts w:asciiTheme="majorHAnsi" w:hAnsiTheme="majorHAnsi"/>
        </w:rPr>
        <w:t>2</w:t>
      </w:r>
      <w:r w:rsidRPr="00174620">
        <w:rPr>
          <w:rFonts w:asciiTheme="majorHAnsi" w:hAnsiTheme="majorHAnsi"/>
        </w:rPr>
        <w:t xml:space="preserve"> forecasting models and a training period </w:t>
      </w:r>
      <w:r w:rsidR="0055107B" w:rsidRPr="00174620">
        <w:rPr>
          <w:rFonts w:asciiTheme="majorHAnsi" w:hAnsiTheme="majorHAnsi"/>
        </w:rPr>
        <w:t>of 16</w:t>
      </w:r>
      <w:r w:rsidRPr="00174620">
        <w:rPr>
          <w:rFonts w:asciiTheme="majorHAnsi" w:hAnsiTheme="majorHAnsi"/>
        </w:rPr>
        <w:t xml:space="preserve"> p</w:t>
      </w:r>
      <w:r w:rsidR="005B27F6" w:rsidRPr="00174620">
        <w:rPr>
          <w:rFonts w:asciiTheme="majorHAnsi" w:hAnsiTheme="majorHAnsi"/>
        </w:rPr>
        <w:t>re</w:t>
      </w:r>
      <w:r w:rsidR="0055107B" w:rsidRPr="00174620">
        <w:rPr>
          <w:rFonts w:asciiTheme="majorHAnsi" w:hAnsiTheme="majorHAnsi"/>
        </w:rPr>
        <w:t>sidential elections (from 1948</w:t>
      </w:r>
      <w:r w:rsidRPr="00174620">
        <w:rPr>
          <w:rFonts w:asciiTheme="majorHAnsi" w:hAnsiTheme="majorHAnsi"/>
        </w:rPr>
        <w:t xml:space="preserve"> to 2008). Our test period is the 2012 election. </w:t>
      </w:r>
    </w:p>
    <w:p w14:paraId="15AA5911" w14:textId="56A31522" w:rsidR="008F149B" w:rsidRPr="00174620" w:rsidRDefault="000F58A5" w:rsidP="00CA58B9">
      <w:pPr>
        <w:pStyle w:val="Manuscriptparagraph"/>
        <w:ind w:firstLine="720"/>
        <w:rPr>
          <w:rFonts w:asciiTheme="majorHAnsi" w:hAnsiTheme="majorHAnsi"/>
        </w:rPr>
      </w:pPr>
      <w:r w:rsidRPr="00174620">
        <w:rPr>
          <w:rFonts w:asciiTheme="majorHAnsi" w:hAnsiTheme="majorHAnsi"/>
        </w:rPr>
        <w:lastRenderedPageBreak/>
        <w:t>Each forecasting model is associated with a p</w:t>
      </w:r>
      <w:r w:rsidR="00D37439" w:rsidRPr="00174620">
        <w:rPr>
          <w:rFonts w:asciiTheme="majorHAnsi" w:hAnsiTheme="majorHAnsi"/>
        </w:rPr>
        <w:t xml:space="preserve">robability </w:t>
      </w:r>
      <w:r w:rsidRPr="00174620">
        <w:rPr>
          <w:rFonts w:asciiTheme="majorHAnsi" w:hAnsiTheme="majorHAnsi"/>
        </w:rPr>
        <w:t>d</w:t>
      </w:r>
      <w:r w:rsidR="00D37439" w:rsidRPr="00174620">
        <w:rPr>
          <w:rFonts w:asciiTheme="majorHAnsi" w:hAnsiTheme="majorHAnsi"/>
        </w:rPr>
        <w:t xml:space="preserve">ensity </w:t>
      </w:r>
      <w:r w:rsidRPr="00174620">
        <w:rPr>
          <w:rFonts w:asciiTheme="majorHAnsi" w:hAnsiTheme="majorHAnsi"/>
        </w:rPr>
        <w:t>f</w:t>
      </w:r>
      <w:r w:rsidR="00D37439" w:rsidRPr="00174620">
        <w:rPr>
          <w:rFonts w:asciiTheme="majorHAnsi" w:hAnsiTheme="majorHAnsi"/>
        </w:rPr>
        <w:t>unction (</w:t>
      </w:r>
      <w:r w:rsidR="00AE0DFD" w:rsidRPr="00174620">
        <w:rPr>
          <w:rFonts w:asciiTheme="majorHAnsi" w:hAnsiTheme="majorHAnsi"/>
        </w:rPr>
        <w:t>PDF</w:t>
      </w:r>
      <w:r w:rsidR="00D37439" w:rsidRPr="00174620">
        <w:rPr>
          <w:rFonts w:asciiTheme="majorHAnsi" w:hAnsiTheme="majorHAnsi"/>
        </w:rPr>
        <w:t>)</w:t>
      </w:r>
      <w:r w:rsidR="00F965E2" w:rsidRPr="00174620">
        <w:rPr>
          <w:rFonts w:asciiTheme="majorHAnsi" w:hAnsiTheme="majorHAnsi"/>
        </w:rPr>
        <w:t>,</w:t>
      </w:r>
      <w:r w:rsidRPr="00174620">
        <w:rPr>
          <w:rFonts w:asciiTheme="majorHAnsi" w:hAnsiTheme="majorHAnsi"/>
        </w:rPr>
        <w:t xml:space="preserve"> which is in our case a normal density function</w:t>
      </w:r>
      <w:r w:rsidR="00F965E2" w:rsidRPr="00174620">
        <w:rPr>
          <w:rFonts w:asciiTheme="majorHAnsi" w:hAnsiTheme="majorHAnsi"/>
        </w:rPr>
        <w:t xml:space="preserve"> centered at </w:t>
      </w:r>
      <w:r w:rsidR="005B27F6" w:rsidRPr="00174620">
        <w:rPr>
          <w:rFonts w:asciiTheme="majorHAnsi" w:hAnsiTheme="majorHAnsi"/>
        </w:rPr>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r>
                  <w:rPr>
                    <w:rFonts w:ascii="Cambria Math" w:hAnsi="Cambria Math"/>
                  </w:rPr>
                  <m:t>*</m:t>
                </m:r>
              </m:sup>
            </m:sSubSup>
          </m:e>
        </m:d>
        <m:r>
          <w:rPr>
            <w:rFonts w:ascii="Cambria Math" w:hAnsi="Cambria Math"/>
          </w:rPr>
          <m:t>=</m:t>
        </m:r>
        <w:proofErr w:type="gramStart"/>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rsidRPr="00174620">
        <w:rPr>
          <w:rFonts w:asciiTheme="majorHAnsi" w:hAnsiTheme="majorHAnsi"/>
        </w:rPr>
        <w:t>.</w:t>
      </w:r>
      <w:r w:rsidRPr="00174620">
        <w:rPr>
          <w:rFonts w:asciiTheme="majorHAnsi" w:hAnsiTheme="majorHAnsi"/>
        </w:rPr>
        <w:t xml:space="preserve"> </w:t>
      </w:r>
      <w:r w:rsidR="00BE2AA5" w:rsidRPr="00174620">
        <w:rPr>
          <w:rFonts w:asciiTheme="majorHAnsi" w:hAnsiTheme="majorHAnsi"/>
        </w:rPr>
        <w:t>T</w:t>
      </w:r>
      <w:r w:rsidR="00DE6C2C" w:rsidRPr="00174620">
        <w:rPr>
          <w:rFonts w:asciiTheme="majorHAnsi" w:hAnsiTheme="majorHAnsi"/>
        </w:rPr>
        <w:t>he predictive distribution for observation y</w:t>
      </w:r>
      <w:r w:rsidR="00126EF7" w:rsidRPr="00174620">
        <w:rPr>
          <w:rFonts w:asciiTheme="majorHAnsi" w:hAnsiTheme="majorHAnsi"/>
          <w:vertAlign w:val="superscript"/>
        </w:rPr>
        <w:t>2012</w:t>
      </w:r>
      <w:r w:rsidR="00D67FB3" w:rsidRPr="00174620">
        <w:rPr>
          <w:rFonts w:asciiTheme="majorHAnsi" w:hAnsiTheme="majorHAnsi"/>
        </w:rPr>
        <w:t xml:space="preserve"> (or our forecast for 2012)</w:t>
      </w:r>
      <w:r w:rsidR="00DE6C2C" w:rsidRPr="00174620">
        <w:rPr>
          <w:rFonts w:asciiTheme="majorHAnsi" w:hAnsiTheme="majorHAnsi"/>
        </w:rPr>
        <w:t xml:space="preserve"> can be represented as</w:t>
      </w:r>
      <w:r w:rsidR="00126EF7" w:rsidRPr="00174620">
        <w:rPr>
          <w:rFonts w:asciiTheme="majorHAnsi" w:hAnsiTheme="majorHAnsi"/>
        </w:rPr>
        <w:t>,</w:t>
      </w:r>
      <w:r w:rsidR="00CA58B9">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w:proofErr w:type="gramStart"/>
            <m:r>
              <w:rPr>
                <w:rFonts w:ascii="Cambria Math" w:hAnsi="Cambria Math"/>
              </w:rPr>
              <m:t>,…,</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6E270593" w14:textId="7FB9831C" w:rsidR="00D67FB3" w:rsidRPr="00174620" w:rsidRDefault="00126EF7" w:rsidP="009F1F99">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rsidRPr="00174620">
        <w:rPr>
          <w:rFonts w:asciiTheme="majorHAnsi" w:hAnsiTheme="majorHAnsi"/>
        </w:rPr>
        <w:t xml:space="preserve"> represents the weight associated with each component model</w:t>
      </w:r>
      <w:r w:rsidR="00640F47" w:rsidRPr="00174620">
        <w:rPr>
          <w:rFonts w:asciiTheme="majorHAnsi" w:hAnsiTheme="majorHAnsi"/>
        </w:rPr>
        <w:t xml:space="preserve">. Weights </w:t>
      </w:r>
      <w:r w:rsidR="00D67FB3" w:rsidRPr="00174620">
        <w:rPr>
          <w:rFonts w:asciiTheme="majorHAnsi" w:hAnsiTheme="majorHAnsi"/>
        </w:rPr>
        <w:t>are estimated using maximum likelihood methods.</w:t>
      </w:r>
      <w:r w:rsidR="00973709">
        <w:rPr>
          <w:rStyle w:val="FootnoteReference"/>
          <w:rFonts w:asciiTheme="majorHAnsi" w:hAnsiTheme="majorHAnsi"/>
        </w:rPr>
        <w:footnoteReference w:id="4"/>
      </w:r>
      <w:r w:rsidR="00D67FB3" w:rsidRPr="00174620">
        <w:rPr>
          <w:rFonts w:asciiTheme="majorHAnsi" w:hAnsiTheme="majorHAnsi"/>
        </w:rPr>
        <w:t xml:space="preserve"> </w:t>
      </w:r>
      <w:r w:rsidR="00A421D9" w:rsidRPr="00174620">
        <w:rPr>
          <w:rFonts w:asciiTheme="majorHAnsi" w:hAnsiTheme="majorHAnsi"/>
        </w:rPr>
        <w:t xml:space="preserve">Given the estimated model weights for the EBMA model based on the training period, we can then create an EBMA prediction using the component model predictions. </w:t>
      </w:r>
    </w:p>
    <w:p w14:paraId="76259FCF" w14:textId="1E38A650" w:rsidR="00AE0DFD" w:rsidRPr="00174620"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insight of this approach is that each component model in the ensemble captures some insight that yields predictions that are selectively accurate. Combining them and weighting them by their predictive success creates a sort of </w:t>
      </w:r>
      <w:r w:rsidR="00AF6153">
        <w:rPr>
          <w:rFonts w:asciiTheme="majorHAnsi" w:hAnsiTheme="majorHAnsi" w:cs="Courier New"/>
          <w:sz w:val="24"/>
          <w:szCs w:val="24"/>
        </w:rPr>
        <w:t>meta-</w:t>
      </w:r>
      <w:r w:rsidRPr="00174620">
        <w:rPr>
          <w:rFonts w:asciiTheme="majorHAnsi" w:hAnsiTheme="majorHAnsi" w:cs="Courier New"/>
          <w:sz w:val="24"/>
          <w:szCs w:val="24"/>
        </w:rPr>
        <w:t xml:space="preserve">model that in principle should be as good (in terms of predictive accuracy)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model</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it is likely that the ensemble will</w:t>
      </w:r>
      <w:r w:rsidR="0055107B" w:rsidRPr="00174620">
        <w:rPr>
          <w:rFonts w:asciiTheme="majorHAnsi" w:hAnsiTheme="majorHAnsi" w:cs="Courier New"/>
          <w:sz w:val="24"/>
          <w:szCs w:val="24"/>
        </w:rPr>
        <w:t xml:space="preserve"> </w:t>
      </w:r>
      <w:r w:rsidR="00AF6153">
        <w:rPr>
          <w:rFonts w:asciiTheme="majorHAnsi" w:hAnsiTheme="majorHAnsi" w:cs="Courier New"/>
          <w:sz w:val="24"/>
          <w:szCs w:val="24"/>
        </w:rPr>
        <w:t>actually</w:t>
      </w:r>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Indeed, the method has been successfully applied i</w:t>
      </w:r>
      <w:r w:rsidR="00796350" w:rsidRPr="00174620">
        <w:rPr>
          <w:rFonts w:asciiTheme="majorHAnsi" w:hAnsiTheme="majorHAnsi" w:cs="Courier New"/>
          <w:sz w:val="24"/>
          <w:szCs w:val="24"/>
        </w:rPr>
        <w:t>n a wide 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 xml:space="preserve">such as </w:t>
      </w:r>
      <w:commentRangeStart w:id="0"/>
      <w:r w:rsidR="008341C7" w:rsidRPr="00174620">
        <w:rPr>
          <w:rFonts w:asciiTheme="majorHAnsi" w:hAnsiTheme="majorHAnsi" w:cs="Courier New"/>
          <w:sz w:val="24"/>
          <w:szCs w:val="24"/>
        </w:rPr>
        <w:t>inflation</w:t>
      </w:r>
      <w:r w:rsidR="00640F47" w:rsidRPr="00174620">
        <w:rPr>
          <w:rFonts w:asciiTheme="majorHAnsi" w:hAnsiTheme="majorHAnsi" w:cs="Courier New"/>
          <w:sz w:val="24"/>
          <w:szCs w:val="24"/>
        </w:rPr>
        <w:t xml:space="preserve"> </w:t>
      </w:r>
      <w:sdt>
        <w:sdtPr>
          <w:rPr>
            <w:rFonts w:asciiTheme="majorHAnsi" w:hAnsiTheme="majorHAnsi" w:cs="Courier New"/>
            <w:sz w:val="24"/>
            <w:szCs w:val="24"/>
          </w:rPr>
          <w:id w:val="-459257645"/>
          <w:citation/>
        </w:sdtPr>
        <w:sdtContent>
          <w:r w:rsidR="00A13871" w:rsidRPr="00174620">
            <w:rPr>
              <w:rFonts w:asciiTheme="majorHAnsi" w:hAnsiTheme="majorHAnsi" w:cs="Courier New"/>
              <w:sz w:val="24"/>
              <w:szCs w:val="24"/>
            </w:rPr>
            <w:fldChar w:fldCharType="begin"/>
          </w:r>
          <w:r w:rsidR="006B4BCA" w:rsidRPr="00174620">
            <w:rPr>
              <w:rFonts w:asciiTheme="majorHAnsi" w:hAnsiTheme="majorHAnsi" w:cs="Courier New"/>
              <w:bCs/>
              <w:color w:val="000000"/>
              <w:sz w:val="24"/>
              <w:szCs w:val="24"/>
            </w:rPr>
            <w:instrText xml:space="preserve">CITATION Jon09 \m Til10 \m Koo09 \l 1033 </w:instrText>
          </w:r>
          <w:r w:rsidR="00A13871" w:rsidRPr="00174620">
            <w:rPr>
              <w:rFonts w:asciiTheme="majorHAnsi" w:hAnsiTheme="majorHAnsi" w:cs="Courier New"/>
              <w:sz w:val="24"/>
              <w:szCs w:val="24"/>
            </w:rPr>
            <w:fldChar w:fldCharType="separate"/>
          </w:r>
          <w:r w:rsidR="00CF5A06" w:rsidRPr="00174620">
            <w:rPr>
              <w:rFonts w:asciiTheme="majorHAnsi" w:hAnsiTheme="majorHAnsi" w:cs="Courier New"/>
              <w:noProof/>
              <w:color w:val="000000"/>
              <w:sz w:val="24"/>
              <w:szCs w:val="24"/>
            </w:rPr>
            <w:t>(Wright, Forecasting US Inflation by Bayesian Model Averaging, 2009; Tilmann Gneiting, 2010; Gary Koop, 2009)</w:t>
          </w:r>
          <w:r w:rsidR="00A13871" w:rsidRPr="00174620">
            <w:rPr>
              <w:rFonts w:asciiTheme="majorHAnsi" w:hAnsiTheme="majorHAnsi" w:cs="Courier New"/>
              <w:sz w:val="24"/>
              <w:szCs w:val="24"/>
            </w:rPr>
            <w:fldChar w:fldCharType="end"/>
          </w:r>
        </w:sdtContent>
      </w:sdt>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 xml:space="preserve">economic </w:t>
      </w:r>
      <w:commentRangeEnd w:id="0"/>
      <w:r w:rsidR="00973709">
        <w:rPr>
          <w:rStyle w:val="CommentReference"/>
        </w:rPr>
        <w:commentReference w:id="0"/>
      </w:r>
      <w:r w:rsidR="008341C7" w:rsidRPr="00174620">
        <w:rPr>
          <w:rFonts w:asciiTheme="majorHAnsi" w:hAnsiTheme="majorHAnsi" w:cs="Courier New"/>
          <w:sz w:val="24"/>
          <w:szCs w:val="24"/>
        </w:rPr>
        <w:t>growth</w:t>
      </w:r>
      <w:r w:rsidR="006B4BCA" w:rsidRPr="00174620">
        <w:rPr>
          <w:rFonts w:asciiTheme="majorHAnsi" w:hAnsiTheme="majorHAnsi" w:cs="Courier New"/>
          <w:bCs/>
          <w:color w:val="000000"/>
          <w:sz w:val="24"/>
          <w:szCs w:val="24"/>
        </w:rPr>
        <w:t xml:space="preserve"> </w:t>
      </w:r>
      <w:sdt>
        <w:sdtPr>
          <w:rPr>
            <w:rFonts w:asciiTheme="majorHAnsi" w:hAnsiTheme="majorHAnsi" w:cs="Courier New"/>
            <w:bCs/>
            <w:color w:val="000000"/>
            <w:sz w:val="24"/>
            <w:szCs w:val="24"/>
          </w:rPr>
          <w:id w:val="-508215151"/>
          <w:citation/>
        </w:sdtPr>
        <w:sdtContent>
          <w:r w:rsidR="006B4BCA" w:rsidRPr="00174620">
            <w:rPr>
              <w:rFonts w:asciiTheme="majorHAnsi" w:hAnsiTheme="majorHAnsi" w:cs="Courier New"/>
              <w:bCs/>
              <w:color w:val="000000"/>
              <w:sz w:val="24"/>
              <w:szCs w:val="24"/>
            </w:rPr>
            <w:fldChar w:fldCharType="begin"/>
          </w:r>
          <w:r w:rsidR="006B4BCA" w:rsidRPr="00174620">
            <w:rPr>
              <w:rFonts w:asciiTheme="majorHAnsi" w:hAnsiTheme="majorHAnsi" w:cs="Courier New"/>
              <w:bCs/>
              <w:color w:val="000000"/>
              <w:sz w:val="24"/>
              <w:szCs w:val="24"/>
            </w:rPr>
            <w:instrText xml:space="preserve"> CITATION Bil \l 1033  \m Bro07</w:instrText>
          </w:r>
          <w:r w:rsidR="006B4BCA" w:rsidRPr="00174620">
            <w:rPr>
              <w:rFonts w:asciiTheme="majorHAnsi" w:hAnsiTheme="majorHAnsi" w:cs="Courier New"/>
              <w:bCs/>
              <w:color w:val="000000"/>
              <w:sz w:val="24"/>
              <w:szCs w:val="24"/>
            </w:rPr>
            <w:fldChar w:fldCharType="separate"/>
          </w:r>
          <w:r w:rsidR="00CF5A06" w:rsidRPr="00174620">
            <w:rPr>
              <w:rFonts w:asciiTheme="majorHAnsi" w:hAnsiTheme="majorHAnsi" w:cs="Courier New"/>
              <w:noProof/>
              <w:color w:val="000000"/>
              <w:sz w:val="24"/>
              <w:szCs w:val="24"/>
            </w:rPr>
            <w:t>(Monica Billio, 2010; William A. Brock, 2007)</w:t>
          </w:r>
          <w:r w:rsidR="006B4BCA" w:rsidRPr="00174620">
            <w:rPr>
              <w:rFonts w:asciiTheme="majorHAnsi" w:hAnsiTheme="majorHAnsi" w:cs="Courier New"/>
              <w:bCs/>
              <w:color w:val="000000"/>
              <w:sz w:val="24"/>
              <w:szCs w:val="24"/>
            </w:rPr>
            <w:fldChar w:fldCharType="end"/>
          </w:r>
        </w:sdtContent>
      </w:sdt>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sdt>
        <w:sdtPr>
          <w:rPr>
            <w:rFonts w:asciiTheme="majorHAnsi" w:hAnsiTheme="majorHAnsi" w:cs="Courier New"/>
            <w:sz w:val="24"/>
            <w:szCs w:val="24"/>
          </w:rPr>
          <w:id w:val="883302963"/>
          <w:citation/>
        </w:sdtPr>
        <w:sdtContent>
          <w:r w:rsidR="00A13871" w:rsidRPr="00174620">
            <w:rPr>
              <w:rFonts w:asciiTheme="majorHAnsi" w:hAnsiTheme="majorHAnsi" w:cs="Courier New"/>
              <w:sz w:val="24"/>
              <w:szCs w:val="24"/>
            </w:rPr>
            <w:fldChar w:fldCharType="begin"/>
          </w:r>
          <w:r w:rsidR="006B4BCA" w:rsidRPr="00174620">
            <w:rPr>
              <w:rFonts w:asciiTheme="majorHAnsi" w:hAnsiTheme="majorHAnsi" w:cs="Courier New"/>
              <w:sz w:val="24"/>
              <w:szCs w:val="24"/>
            </w:rPr>
            <w:instrText xml:space="preserve">CITATION Jon08 \l 1033 </w:instrText>
          </w:r>
          <w:r w:rsidR="00A13871"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 xml:space="preserve"> (Wright, Bayesian Model Averaging and Exchange Rate Forecasts, 2008)</w:t>
          </w:r>
          <w:r w:rsidR="00A13871"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industrial production</w:t>
      </w:r>
      <w:sdt>
        <w:sdtPr>
          <w:rPr>
            <w:rFonts w:asciiTheme="majorHAnsi" w:hAnsiTheme="majorHAnsi" w:cs="Courier New"/>
            <w:sz w:val="24"/>
            <w:szCs w:val="24"/>
          </w:rPr>
          <w:id w:val="-383713003"/>
          <w:citation/>
        </w:sdtPr>
        <w:sdtContent>
          <w:r w:rsidR="006B4BCA" w:rsidRPr="00174620">
            <w:rPr>
              <w:rFonts w:asciiTheme="majorHAnsi" w:hAnsiTheme="majorHAnsi" w:cs="Courier New"/>
              <w:sz w:val="24"/>
              <w:szCs w:val="24"/>
            </w:rPr>
            <w:fldChar w:fldCharType="begin"/>
          </w:r>
          <w:r w:rsidR="006B4BCA" w:rsidRPr="00174620">
            <w:rPr>
              <w:rFonts w:asciiTheme="majorHAnsi" w:hAnsiTheme="majorHAnsi" w:cs="Courier New"/>
              <w:sz w:val="24"/>
              <w:szCs w:val="24"/>
            </w:rPr>
            <w:instrText xml:space="preserve"> CITATION Mar10 \l 1033 </w:instrText>
          </w:r>
          <w:r w:rsidR="006B4BCA"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 xml:space="preserve"> (Feldkircher, 2010)</w:t>
          </w:r>
          <w:r w:rsidR="006B4BCA"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sdt>
        <w:sdtPr>
          <w:rPr>
            <w:rFonts w:asciiTheme="majorHAnsi" w:hAnsiTheme="majorHAnsi" w:cs="Courier New"/>
            <w:sz w:val="24"/>
            <w:szCs w:val="24"/>
          </w:rPr>
          <w:id w:val="-636650217"/>
          <w:citation/>
        </w:sdtPr>
        <w:sdtContent>
          <w:r w:rsidR="00292A64" w:rsidRPr="00174620">
            <w:rPr>
              <w:rFonts w:asciiTheme="majorHAnsi" w:hAnsiTheme="majorHAnsi" w:cs="Courier New"/>
              <w:sz w:val="24"/>
              <w:szCs w:val="24"/>
            </w:rPr>
            <w:fldChar w:fldCharType="begin"/>
          </w:r>
          <w:r w:rsidR="00292A64" w:rsidRPr="00174620">
            <w:rPr>
              <w:rFonts w:asciiTheme="majorHAnsi" w:hAnsiTheme="majorHAnsi" w:cs="Courier New"/>
              <w:sz w:val="24"/>
              <w:szCs w:val="24"/>
            </w:rPr>
            <w:instrText xml:space="preserve"> CITATION Ric10 \l 1033  \m Raf05 \m Ver10</w:instrText>
          </w:r>
          <w:r w:rsidR="00292A64"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(Richard M. Chmielecki, 2010; Raftery, 2005; Veronica J. Berrocal, 2010)</w:t>
          </w:r>
          <w:r w:rsidR="00292A64"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xml:space="preserve">. Its theoretical underpinnings, as well as its success in a variety of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w:t>
      </w:r>
      <w:r w:rsidR="008341C7" w:rsidRPr="00174620">
        <w:rPr>
          <w:rFonts w:asciiTheme="majorHAnsi" w:hAnsiTheme="majorHAnsi" w:cs="Courier New"/>
          <w:sz w:val="24"/>
          <w:szCs w:val="24"/>
        </w:rPr>
        <w:lastRenderedPageBreak/>
        <w:t xml:space="preserve">elections as well. </w:t>
      </w:r>
    </w:p>
    <w:p w14:paraId="21D952D5" w14:textId="425AED88" w:rsidR="001F5468" w:rsidRPr="00E36666" w:rsidRDefault="001F5468" w:rsidP="00E36666">
      <w:pPr>
        <w:rPr>
          <w:rFonts w:asciiTheme="majorHAnsi" w:hAnsiTheme="majorHAnsi" w:cs="Courier New"/>
          <w:sz w:val="24"/>
          <w:szCs w:val="24"/>
        </w:rPr>
      </w:pPr>
    </w:p>
    <w:tbl>
      <w:tblPr>
        <w:tblW w:w="6701" w:type="dxa"/>
        <w:jc w:val="center"/>
        <w:tblInd w:w="93" w:type="dxa"/>
        <w:tblLook w:val="04A0" w:firstRow="1" w:lastRow="0" w:firstColumn="1" w:lastColumn="0" w:noHBand="0" w:noVBand="1"/>
      </w:tblPr>
      <w:tblGrid>
        <w:gridCol w:w="2738"/>
        <w:gridCol w:w="2089"/>
        <w:gridCol w:w="937"/>
        <w:gridCol w:w="937"/>
      </w:tblGrid>
      <w:tr w:rsidR="001D370D" w:rsidRPr="00174620" w14:paraId="58365875" w14:textId="77777777" w:rsidTr="00BB733C">
        <w:trPr>
          <w:trHeight w:val="600"/>
          <w:jc w:val="center"/>
        </w:trPr>
        <w:tc>
          <w:tcPr>
            <w:tcW w:w="6701" w:type="dxa"/>
            <w:gridSpan w:val="4"/>
            <w:tcBorders>
              <w:top w:val="nil"/>
              <w:left w:val="nil"/>
              <w:bottom w:val="single" w:sz="8" w:space="0" w:color="auto"/>
              <w:right w:val="nil"/>
            </w:tcBorders>
            <w:shd w:val="clear" w:color="auto" w:fill="auto"/>
            <w:vAlign w:val="bottom"/>
            <w:hideMark/>
          </w:tcPr>
          <w:p w14:paraId="61F39209" w14:textId="77777777" w:rsidR="001D370D" w:rsidRPr="00174620" w:rsidRDefault="001D370D" w:rsidP="001D370D">
            <w:pPr>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Table 1: Ensemble weights and fit statistics for calibration-period performance (1948-2008)</w:t>
            </w:r>
          </w:p>
        </w:tc>
      </w:tr>
      <w:tr w:rsidR="001D370D" w:rsidRPr="00174620" w14:paraId="3B4893C8" w14:textId="77777777" w:rsidTr="00BB733C">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 </w:t>
            </w:r>
          </w:p>
        </w:tc>
        <w:tc>
          <w:tcPr>
            <w:tcW w:w="2089" w:type="dxa"/>
            <w:tcBorders>
              <w:top w:val="nil"/>
              <w:left w:val="nil"/>
              <w:bottom w:val="single" w:sz="4" w:space="0" w:color="auto"/>
              <w:right w:val="nil"/>
            </w:tcBorders>
            <w:shd w:val="clear" w:color="auto" w:fill="auto"/>
            <w:vAlign w:val="bottom"/>
            <w:hideMark/>
          </w:tcPr>
          <w:p w14:paraId="01D12DF4" w14:textId="77777777" w:rsidR="001D370D" w:rsidRPr="00174620" w:rsidRDefault="001D370D" w:rsidP="00AE0DFD">
            <w:pPr>
              <w:ind w:left="720"/>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Ensemble Weight</w:t>
            </w:r>
          </w:p>
        </w:tc>
        <w:tc>
          <w:tcPr>
            <w:tcW w:w="937" w:type="dxa"/>
            <w:tcBorders>
              <w:top w:val="nil"/>
              <w:left w:val="nil"/>
              <w:bottom w:val="single" w:sz="4" w:space="0" w:color="auto"/>
              <w:right w:val="nil"/>
            </w:tcBorders>
            <w:shd w:val="clear" w:color="auto" w:fill="auto"/>
            <w:noWrap/>
            <w:vAlign w:val="bottom"/>
            <w:hideMark/>
          </w:tcPr>
          <w:p w14:paraId="50DCA728"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RMSE</w:t>
            </w:r>
          </w:p>
        </w:tc>
        <w:tc>
          <w:tcPr>
            <w:tcW w:w="937" w:type="dxa"/>
            <w:tcBorders>
              <w:top w:val="nil"/>
              <w:left w:val="nil"/>
              <w:bottom w:val="single" w:sz="4" w:space="0" w:color="auto"/>
              <w:right w:val="nil"/>
            </w:tcBorders>
            <w:shd w:val="clear" w:color="auto" w:fill="auto"/>
            <w:noWrap/>
            <w:vAlign w:val="bottom"/>
            <w:hideMark/>
          </w:tcPr>
          <w:p w14:paraId="3C05883E"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MAE</w:t>
            </w:r>
          </w:p>
        </w:tc>
      </w:tr>
      <w:tr w:rsidR="001D370D" w:rsidRPr="00174620" w14:paraId="0A5C12FE"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Ensemble</w:t>
            </w:r>
          </w:p>
        </w:tc>
        <w:tc>
          <w:tcPr>
            <w:tcW w:w="2089" w:type="dxa"/>
            <w:tcBorders>
              <w:top w:val="nil"/>
              <w:left w:val="nil"/>
              <w:bottom w:val="nil"/>
              <w:right w:val="nil"/>
            </w:tcBorders>
            <w:shd w:val="clear" w:color="auto" w:fill="auto"/>
            <w:noWrap/>
            <w:vAlign w:val="bottom"/>
            <w:hideMark/>
          </w:tcPr>
          <w:p w14:paraId="21095E12" w14:textId="5039BF3F" w:rsidR="001D370D" w:rsidRPr="00174620" w:rsidRDefault="00AE0DFD" w:rsidP="00AE0DF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NA</w:t>
            </w:r>
          </w:p>
        </w:tc>
        <w:tc>
          <w:tcPr>
            <w:tcW w:w="937" w:type="dxa"/>
            <w:tcBorders>
              <w:top w:val="nil"/>
              <w:left w:val="nil"/>
              <w:bottom w:val="nil"/>
              <w:right w:val="nil"/>
            </w:tcBorders>
            <w:shd w:val="clear" w:color="auto" w:fill="auto"/>
            <w:noWrap/>
            <w:vAlign w:val="bottom"/>
            <w:hideMark/>
          </w:tcPr>
          <w:p w14:paraId="7F6AA57D"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1.02</w:t>
            </w:r>
          </w:p>
        </w:tc>
        <w:tc>
          <w:tcPr>
            <w:tcW w:w="937" w:type="dxa"/>
            <w:tcBorders>
              <w:top w:val="nil"/>
              <w:left w:val="nil"/>
              <w:bottom w:val="nil"/>
              <w:right w:val="nil"/>
            </w:tcBorders>
            <w:shd w:val="clear" w:color="auto" w:fill="auto"/>
            <w:noWrap/>
            <w:vAlign w:val="bottom"/>
            <w:hideMark/>
          </w:tcPr>
          <w:p w14:paraId="395B9B28"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0.808</w:t>
            </w:r>
          </w:p>
        </w:tc>
      </w:tr>
      <w:tr w:rsidR="001D370D" w:rsidRPr="00174620" w14:paraId="1681157B"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Abramowitz</w:t>
            </w:r>
          </w:p>
        </w:tc>
        <w:tc>
          <w:tcPr>
            <w:tcW w:w="2089" w:type="dxa"/>
            <w:tcBorders>
              <w:top w:val="nil"/>
              <w:left w:val="nil"/>
              <w:bottom w:val="nil"/>
              <w:right w:val="nil"/>
            </w:tcBorders>
            <w:shd w:val="clear" w:color="auto" w:fill="auto"/>
            <w:noWrap/>
            <w:vAlign w:val="bottom"/>
            <w:hideMark/>
          </w:tcPr>
          <w:p w14:paraId="11511735" w14:textId="526AA901" w:rsidR="001D370D" w:rsidRPr="00174620" w:rsidRDefault="00AE0DFD" w:rsidP="00AE0DF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NA</w:t>
            </w:r>
          </w:p>
        </w:tc>
        <w:tc>
          <w:tcPr>
            <w:tcW w:w="937" w:type="dxa"/>
            <w:tcBorders>
              <w:top w:val="nil"/>
              <w:left w:val="nil"/>
              <w:bottom w:val="nil"/>
              <w:right w:val="nil"/>
            </w:tcBorders>
            <w:shd w:val="clear" w:color="auto" w:fill="auto"/>
            <w:noWrap/>
            <w:vAlign w:val="bottom"/>
            <w:hideMark/>
          </w:tcPr>
          <w:p w14:paraId="6EF4014D" w14:textId="60E27263" w:rsidR="001D370D" w:rsidRPr="00174620" w:rsidRDefault="00AE0DFD" w:rsidP="00AE0DF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NA</w:t>
            </w:r>
          </w:p>
        </w:tc>
        <w:tc>
          <w:tcPr>
            <w:tcW w:w="937" w:type="dxa"/>
            <w:tcBorders>
              <w:top w:val="nil"/>
              <w:left w:val="nil"/>
              <w:bottom w:val="nil"/>
              <w:right w:val="nil"/>
            </w:tcBorders>
            <w:shd w:val="clear" w:color="auto" w:fill="auto"/>
            <w:noWrap/>
            <w:vAlign w:val="bottom"/>
            <w:hideMark/>
          </w:tcPr>
          <w:p w14:paraId="21E2D7E4" w14:textId="6A4B36CD" w:rsidR="001D370D" w:rsidRPr="00174620" w:rsidRDefault="00AE0DFD" w:rsidP="00AE0DF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NA</w:t>
            </w:r>
          </w:p>
        </w:tc>
      </w:tr>
      <w:tr w:rsidR="001D370D" w:rsidRPr="00174620" w14:paraId="6F54B8ED"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Berry</w:t>
            </w:r>
          </w:p>
        </w:tc>
        <w:tc>
          <w:tcPr>
            <w:tcW w:w="2089" w:type="dxa"/>
            <w:tcBorders>
              <w:top w:val="nil"/>
              <w:left w:val="nil"/>
              <w:bottom w:val="nil"/>
              <w:right w:val="nil"/>
            </w:tcBorders>
            <w:shd w:val="clear" w:color="auto" w:fill="auto"/>
            <w:noWrap/>
            <w:vAlign w:val="bottom"/>
            <w:hideMark/>
          </w:tcPr>
          <w:p w14:paraId="37C46802"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0.043</w:t>
            </w:r>
          </w:p>
        </w:tc>
        <w:tc>
          <w:tcPr>
            <w:tcW w:w="937" w:type="dxa"/>
            <w:tcBorders>
              <w:top w:val="nil"/>
              <w:left w:val="nil"/>
              <w:bottom w:val="nil"/>
              <w:right w:val="nil"/>
            </w:tcBorders>
            <w:shd w:val="clear" w:color="auto" w:fill="auto"/>
            <w:noWrap/>
            <w:vAlign w:val="bottom"/>
            <w:hideMark/>
          </w:tcPr>
          <w:p w14:paraId="04D6D671"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1.260</w:t>
            </w:r>
          </w:p>
        </w:tc>
        <w:tc>
          <w:tcPr>
            <w:tcW w:w="937" w:type="dxa"/>
            <w:tcBorders>
              <w:top w:val="nil"/>
              <w:left w:val="nil"/>
              <w:bottom w:val="nil"/>
              <w:right w:val="nil"/>
            </w:tcBorders>
            <w:shd w:val="clear" w:color="auto" w:fill="auto"/>
            <w:noWrap/>
            <w:vAlign w:val="bottom"/>
            <w:hideMark/>
          </w:tcPr>
          <w:p w14:paraId="40ED6BFE"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1.099</w:t>
            </w:r>
          </w:p>
        </w:tc>
      </w:tr>
      <w:tr w:rsidR="001D370D" w:rsidRPr="00174620" w14:paraId="31919D78"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0474B25" w14:textId="13ACCB48"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00777EF7"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6A1A8568"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0.284</w:t>
            </w:r>
          </w:p>
        </w:tc>
        <w:tc>
          <w:tcPr>
            <w:tcW w:w="937" w:type="dxa"/>
            <w:tcBorders>
              <w:top w:val="nil"/>
              <w:left w:val="nil"/>
              <w:bottom w:val="nil"/>
              <w:right w:val="nil"/>
            </w:tcBorders>
            <w:shd w:val="clear" w:color="auto" w:fill="auto"/>
            <w:noWrap/>
            <w:vAlign w:val="bottom"/>
            <w:hideMark/>
          </w:tcPr>
          <w:p w14:paraId="167CE51D"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1.610</w:t>
            </w:r>
          </w:p>
        </w:tc>
        <w:tc>
          <w:tcPr>
            <w:tcW w:w="937" w:type="dxa"/>
            <w:tcBorders>
              <w:top w:val="nil"/>
              <w:left w:val="nil"/>
              <w:bottom w:val="nil"/>
              <w:right w:val="nil"/>
            </w:tcBorders>
            <w:shd w:val="clear" w:color="auto" w:fill="auto"/>
            <w:noWrap/>
            <w:vAlign w:val="bottom"/>
            <w:hideMark/>
          </w:tcPr>
          <w:p w14:paraId="506E4674"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1.252</w:t>
            </w:r>
          </w:p>
        </w:tc>
      </w:tr>
      <w:tr w:rsidR="001D370D" w:rsidRPr="00174620" w14:paraId="42EF0100"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3A52C974" w14:textId="69CB8441"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Pr="00174620">
              <w:rPr>
                <w:rFonts w:asciiTheme="majorHAnsi" w:hAnsiTheme="majorHAnsi" w:cs="Courier New"/>
                <w:color w:val="000000"/>
                <w:sz w:val="24"/>
                <w:szCs w:val="24"/>
              </w:rPr>
              <w:t xml:space="preserve"> </w:t>
            </w:r>
            <w:r w:rsidR="00777EF7" w:rsidRPr="00174620">
              <w:rPr>
                <w:rFonts w:asciiTheme="majorHAnsi" w:hAnsiTheme="majorHAnsi" w:cs="Courier New"/>
                <w:color w:val="000000"/>
                <w:sz w:val="24"/>
                <w:szCs w:val="24"/>
              </w:rPr>
              <w:t>2</w:t>
            </w:r>
          </w:p>
        </w:tc>
        <w:tc>
          <w:tcPr>
            <w:tcW w:w="2089" w:type="dxa"/>
            <w:tcBorders>
              <w:top w:val="nil"/>
              <w:left w:val="nil"/>
              <w:bottom w:val="nil"/>
              <w:right w:val="nil"/>
            </w:tcBorders>
            <w:shd w:val="clear" w:color="auto" w:fill="auto"/>
            <w:noWrap/>
            <w:vAlign w:val="bottom"/>
            <w:hideMark/>
          </w:tcPr>
          <w:p w14:paraId="15073E36"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0.086</w:t>
            </w:r>
          </w:p>
        </w:tc>
        <w:tc>
          <w:tcPr>
            <w:tcW w:w="937" w:type="dxa"/>
            <w:tcBorders>
              <w:top w:val="nil"/>
              <w:left w:val="nil"/>
              <w:bottom w:val="nil"/>
              <w:right w:val="nil"/>
            </w:tcBorders>
            <w:shd w:val="clear" w:color="auto" w:fill="auto"/>
            <w:noWrap/>
            <w:vAlign w:val="bottom"/>
            <w:hideMark/>
          </w:tcPr>
          <w:p w14:paraId="51EA53A4"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1.740</w:t>
            </w:r>
          </w:p>
        </w:tc>
        <w:tc>
          <w:tcPr>
            <w:tcW w:w="937" w:type="dxa"/>
            <w:tcBorders>
              <w:top w:val="nil"/>
              <w:left w:val="nil"/>
              <w:bottom w:val="nil"/>
              <w:right w:val="nil"/>
            </w:tcBorders>
            <w:shd w:val="clear" w:color="auto" w:fill="auto"/>
            <w:noWrap/>
            <w:vAlign w:val="bottom"/>
            <w:hideMark/>
          </w:tcPr>
          <w:p w14:paraId="259792FF"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1.412</w:t>
            </w:r>
          </w:p>
        </w:tc>
      </w:tr>
      <w:tr w:rsidR="001D370D" w:rsidRPr="00174620" w14:paraId="3D4433C3"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179DC5D7"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0.035</w:t>
            </w:r>
          </w:p>
        </w:tc>
        <w:tc>
          <w:tcPr>
            <w:tcW w:w="937" w:type="dxa"/>
            <w:tcBorders>
              <w:top w:val="nil"/>
              <w:left w:val="nil"/>
              <w:bottom w:val="nil"/>
              <w:right w:val="nil"/>
            </w:tcBorders>
            <w:shd w:val="clear" w:color="auto" w:fill="auto"/>
            <w:noWrap/>
            <w:vAlign w:val="bottom"/>
            <w:hideMark/>
          </w:tcPr>
          <w:p w14:paraId="1ABB8B0C"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2.300</w:t>
            </w:r>
          </w:p>
        </w:tc>
        <w:tc>
          <w:tcPr>
            <w:tcW w:w="937" w:type="dxa"/>
            <w:tcBorders>
              <w:top w:val="nil"/>
              <w:left w:val="nil"/>
              <w:bottom w:val="nil"/>
              <w:right w:val="nil"/>
            </w:tcBorders>
            <w:shd w:val="clear" w:color="auto" w:fill="auto"/>
            <w:noWrap/>
            <w:vAlign w:val="bottom"/>
            <w:hideMark/>
          </w:tcPr>
          <w:p w14:paraId="27D1F8D8"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1.751</w:t>
            </w:r>
          </w:p>
        </w:tc>
      </w:tr>
      <w:tr w:rsidR="001D370D" w:rsidRPr="00174620" w14:paraId="2514BECA"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2</w:t>
            </w:r>
          </w:p>
        </w:tc>
        <w:tc>
          <w:tcPr>
            <w:tcW w:w="2089" w:type="dxa"/>
            <w:tcBorders>
              <w:top w:val="nil"/>
              <w:left w:val="nil"/>
              <w:bottom w:val="nil"/>
              <w:right w:val="nil"/>
            </w:tcBorders>
            <w:shd w:val="clear" w:color="auto" w:fill="auto"/>
            <w:noWrap/>
            <w:vAlign w:val="bottom"/>
            <w:hideMark/>
          </w:tcPr>
          <w:p w14:paraId="36E7558F"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0.406</w:t>
            </w:r>
          </w:p>
        </w:tc>
        <w:tc>
          <w:tcPr>
            <w:tcW w:w="937" w:type="dxa"/>
            <w:tcBorders>
              <w:top w:val="nil"/>
              <w:left w:val="nil"/>
              <w:bottom w:val="nil"/>
              <w:right w:val="nil"/>
            </w:tcBorders>
            <w:shd w:val="clear" w:color="auto" w:fill="auto"/>
            <w:noWrap/>
            <w:vAlign w:val="bottom"/>
            <w:hideMark/>
          </w:tcPr>
          <w:p w14:paraId="63CA27E3"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1.960</w:t>
            </w:r>
          </w:p>
        </w:tc>
        <w:tc>
          <w:tcPr>
            <w:tcW w:w="937" w:type="dxa"/>
            <w:tcBorders>
              <w:top w:val="nil"/>
              <w:left w:val="nil"/>
              <w:bottom w:val="nil"/>
              <w:right w:val="nil"/>
            </w:tcBorders>
            <w:shd w:val="clear" w:color="auto" w:fill="auto"/>
            <w:noWrap/>
            <w:vAlign w:val="bottom"/>
            <w:hideMark/>
          </w:tcPr>
          <w:p w14:paraId="5D69209B"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1.426</w:t>
            </w:r>
          </w:p>
        </w:tc>
      </w:tr>
      <w:tr w:rsidR="001D370D" w:rsidRPr="00174620" w14:paraId="265FC0E7"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Erikson-</w:t>
            </w:r>
            <w:proofErr w:type="spellStart"/>
            <w:r w:rsidRPr="00174620">
              <w:rPr>
                <w:rFonts w:asciiTheme="majorHAnsi" w:hAnsiTheme="majorHAnsi" w:cs="Courier New"/>
                <w:color w:val="000000"/>
                <w:sz w:val="24"/>
                <w:szCs w:val="24"/>
              </w:rPr>
              <w:t>Wlezien</w:t>
            </w:r>
            <w:proofErr w:type="spellEnd"/>
          </w:p>
        </w:tc>
        <w:tc>
          <w:tcPr>
            <w:tcW w:w="2089" w:type="dxa"/>
            <w:tcBorders>
              <w:top w:val="nil"/>
              <w:left w:val="nil"/>
              <w:bottom w:val="nil"/>
              <w:right w:val="nil"/>
            </w:tcBorders>
            <w:shd w:val="clear" w:color="auto" w:fill="auto"/>
            <w:noWrap/>
            <w:vAlign w:val="bottom"/>
            <w:hideMark/>
          </w:tcPr>
          <w:p w14:paraId="0D7EC930"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0.026</w:t>
            </w:r>
          </w:p>
        </w:tc>
        <w:tc>
          <w:tcPr>
            <w:tcW w:w="937" w:type="dxa"/>
            <w:tcBorders>
              <w:top w:val="nil"/>
              <w:left w:val="nil"/>
              <w:bottom w:val="nil"/>
              <w:right w:val="nil"/>
            </w:tcBorders>
            <w:shd w:val="clear" w:color="auto" w:fill="auto"/>
            <w:noWrap/>
            <w:vAlign w:val="bottom"/>
            <w:hideMark/>
          </w:tcPr>
          <w:p w14:paraId="53F8ED22"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1.780</w:t>
            </w:r>
          </w:p>
        </w:tc>
        <w:tc>
          <w:tcPr>
            <w:tcW w:w="937" w:type="dxa"/>
            <w:tcBorders>
              <w:top w:val="nil"/>
              <w:left w:val="nil"/>
              <w:bottom w:val="nil"/>
              <w:right w:val="nil"/>
            </w:tcBorders>
            <w:shd w:val="clear" w:color="auto" w:fill="auto"/>
            <w:noWrap/>
            <w:vAlign w:val="bottom"/>
            <w:hideMark/>
          </w:tcPr>
          <w:p w14:paraId="0FAE221F"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1.568</w:t>
            </w:r>
          </w:p>
        </w:tc>
      </w:tr>
      <w:tr w:rsidR="001D370D" w:rsidRPr="00174620" w14:paraId="182C9F4C"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174620" w:rsidRDefault="001D370D" w:rsidP="001D370D">
            <w:pPr>
              <w:rPr>
                <w:rFonts w:asciiTheme="majorHAnsi" w:hAnsiTheme="majorHAnsi" w:cs="Courier New"/>
                <w:color w:val="000000"/>
                <w:sz w:val="24"/>
                <w:szCs w:val="24"/>
              </w:rPr>
            </w:pPr>
            <w:proofErr w:type="spellStart"/>
            <w:r w:rsidRPr="00174620">
              <w:rPr>
                <w:rFonts w:asciiTheme="majorHAnsi" w:hAnsiTheme="majorHAnsi" w:cs="Courier New"/>
                <w:color w:val="000000"/>
                <w:sz w:val="24"/>
                <w:szCs w:val="24"/>
              </w:rPr>
              <w:t>Hibbs</w:t>
            </w:r>
            <w:proofErr w:type="spellEnd"/>
          </w:p>
        </w:tc>
        <w:tc>
          <w:tcPr>
            <w:tcW w:w="2089" w:type="dxa"/>
            <w:tcBorders>
              <w:top w:val="nil"/>
              <w:left w:val="nil"/>
              <w:bottom w:val="nil"/>
              <w:right w:val="nil"/>
            </w:tcBorders>
            <w:shd w:val="clear" w:color="auto" w:fill="auto"/>
            <w:noWrap/>
            <w:vAlign w:val="bottom"/>
            <w:hideMark/>
          </w:tcPr>
          <w:p w14:paraId="13EC999B"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0.000</w:t>
            </w:r>
          </w:p>
        </w:tc>
        <w:tc>
          <w:tcPr>
            <w:tcW w:w="937" w:type="dxa"/>
            <w:tcBorders>
              <w:top w:val="nil"/>
              <w:left w:val="nil"/>
              <w:bottom w:val="nil"/>
              <w:right w:val="nil"/>
            </w:tcBorders>
            <w:shd w:val="clear" w:color="auto" w:fill="auto"/>
            <w:noWrap/>
            <w:vAlign w:val="bottom"/>
            <w:hideMark/>
          </w:tcPr>
          <w:p w14:paraId="76CD979D"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2.810</w:t>
            </w:r>
          </w:p>
        </w:tc>
        <w:tc>
          <w:tcPr>
            <w:tcW w:w="937" w:type="dxa"/>
            <w:tcBorders>
              <w:top w:val="nil"/>
              <w:left w:val="nil"/>
              <w:bottom w:val="nil"/>
              <w:right w:val="nil"/>
            </w:tcBorders>
            <w:shd w:val="clear" w:color="auto" w:fill="auto"/>
            <w:noWrap/>
            <w:vAlign w:val="bottom"/>
            <w:hideMark/>
          </w:tcPr>
          <w:p w14:paraId="483E46BD"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2.240</w:t>
            </w:r>
          </w:p>
        </w:tc>
      </w:tr>
      <w:tr w:rsidR="001D370D" w:rsidRPr="00174620" w14:paraId="20202FD1"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Holbrook</w:t>
            </w:r>
          </w:p>
        </w:tc>
        <w:tc>
          <w:tcPr>
            <w:tcW w:w="2089" w:type="dxa"/>
            <w:tcBorders>
              <w:top w:val="nil"/>
              <w:left w:val="nil"/>
              <w:bottom w:val="nil"/>
              <w:right w:val="nil"/>
            </w:tcBorders>
            <w:shd w:val="clear" w:color="auto" w:fill="auto"/>
            <w:noWrap/>
            <w:vAlign w:val="bottom"/>
            <w:hideMark/>
          </w:tcPr>
          <w:p w14:paraId="1604D461"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0.121</w:t>
            </w:r>
          </w:p>
        </w:tc>
        <w:tc>
          <w:tcPr>
            <w:tcW w:w="937" w:type="dxa"/>
            <w:tcBorders>
              <w:top w:val="nil"/>
              <w:left w:val="nil"/>
              <w:bottom w:val="nil"/>
              <w:right w:val="nil"/>
            </w:tcBorders>
            <w:shd w:val="clear" w:color="auto" w:fill="auto"/>
            <w:noWrap/>
            <w:vAlign w:val="bottom"/>
            <w:hideMark/>
          </w:tcPr>
          <w:p w14:paraId="52544D14"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2.140</w:t>
            </w:r>
          </w:p>
        </w:tc>
        <w:tc>
          <w:tcPr>
            <w:tcW w:w="937" w:type="dxa"/>
            <w:tcBorders>
              <w:top w:val="nil"/>
              <w:left w:val="nil"/>
              <w:bottom w:val="nil"/>
              <w:right w:val="nil"/>
            </w:tcBorders>
            <w:shd w:val="clear" w:color="auto" w:fill="auto"/>
            <w:noWrap/>
            <w:vAlign w:val="bottom"/>
            <w:hideMark/>
          </w:tcPr>
          <w:p w14:paraId="071DDFD2"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1.734</w:t>
            </w:r>
          </w:p>
        </w:tc>
      </w:tr>
      <w:tr w:rsidR="001D370D" w:rsidRPr="00174620" w14:paraId="1B696351" w14:textId="77777777" w:rsidTr="00BB733C">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Lockerbie</w:t>
            </w:r>
          </w:p>
        </w:tc>
        <w:tc>
          <w:tcPr>
            <w:tcW w:w="2089" w:type="dxa"/>
            <w:tcBorders>
              <w:top w:val="nil"/>
              <w:left w:val="nil"/>
              <w:bottom w:val="single" w:sz="8" w:space="0" w:color="auto"/>
              <w:right w:val="nil"/>
            </w:tcBorders>
            <w:shd w:val="clear" w:color="auto" w:fill="auto"/>
            <w:noWrap/>
            <w:vAlign w:val="bottom"/>
            <w:hideMark/>
          </w:tcPr>
          <w:p w14:paraId="4BDDF468"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0.000</w:t>
            </w:r>
          </w:p>
        </w:tc>
        <w:tc>
          <w:tcPr>
            <w:tcW w:w="937" w:type="dxa"/>
            <w:tcBorders>
              <w:top w:val="nil"/>
              <w:left w:val="nil"/>
              <w:bottom w:val="single" w:sz="8" w:space="0" w:color="auto"/>
              <w:right w:val="nil"/>
            </w:tcBorders>
            <w:shd w:val="clear" w:color="auto" w:fill="auto"/>
            <w:noWrap/>
            <w:vAlign w:val="bottom"/>
            <w:hideMark/>
          </w:tcPr>
          <w:p w14:paraId="1CF61EDD"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3.940</w:t>
            </w:r>
          </w:p>
        </w:tc>
        <w:tc>
          <w:tcPr>
            <w:tcW w:w="937" w:type="dxa"/>
            <w:tcBorders>
              <w:top w:val="nil"/>
              <w:left w:val="nil"/>
              <w:bottom w:val="single" w:sz="8" w:space="0" w:color="auto"/>
              <w:right w:val="nil"/>
            </w:tcBorders>
            <w:shd w:val="clear" w:color="auto" w:fill="auto"/>
            <w:noWrap/>
            <w:vAlign w:val="bottom"/>
            <w:hideMark/>
          </w:tcPr>
          <w:p w14:paraId="290AB909" w14:textId="77777777" w:rsidR="001D370D" w:rsidRPr="00174620" w:rsidRDefault="001D370D" w:rsidP="001D370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3.329</w:t>
            </w:r>
          </w:p>
        </w:tc>
      </w:tr>
      <w:tr w:rsidR="001D370D" w:rsidRPr="00174620" w14:paraId="54BD7DDB" w14:textId="77777777" w:rsidTr="00BB733C">
        <w:trPr>
          <w:trHeight w:val="1920"/>
          <w:jc w:val="center"/>
        </w:trPr>
        <w:tc>
          <w:tcPr>
            <w:tcW w:w="6701" w:type="dxa"/>
            <w:gridSpan w:val="4"/>
            <w:tcBorders>
              <w:top w:val="single" w:sz="8" w:space="0" w:color="auto"/>
              <w:left w:val="nil"/>
              <w:bottom w:val="nil"/>
              <w:right w:val="nil"/>
            </w:tcBorders>
            <w:shd w:val="clear" w:color="auto" w:fill="auto"/>
            <w:vAlign w:val="bottom"/>
            <w:hideMark/>
          </w:tcPr>
          <w:p w14:paraId="3513D41F" w14:textId="4FF39F79" w:rsidR="001D370D" w:rsidRPr="00174620" w:rsidRDefault="001D370D" w:rsidP="00AE0DFD">
            <w:pPr>
              <w:spacing w:line="480" w:lineRule="auto"/>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The first column shows the weight assigned each component model in the final ensemble.  The other col</w:t>
            </w:r>
            <w:r w:rsidR="00AE0DFD" w:rsidRPr="00174620">
              <w:rPr>
                <w:rFonts w:asciiTheme="majorHAnsi" w:hAnsiTheme="majorHAnsi" w:cs="Courier New"/>
                <w:i/>
                <w:iCs/>
                <w:color w:val="000000"/>
                <w:sz w:val="24"/>
                <w:szCs w:val="24"/>
              </w:rPr>
              <w:t>u</w:t>
            </w:r>
            <w:r w:rsidRPr="00174620">
              <w:rPr>
                <w:rFonts w:asciiTheme="majorHAnsi" w:hAnsiTheme="majorHAnsi"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Pr="00174620" w:rsidRDefault="001D370D" w:rsidP="001D370D">
      <w:pPr>
        <w:pStyle w:val="Manuscriptparagraph"/>
        <w:ind w:firstLine="720"/>
        <w:jc w:val="center"/>
        <w:rPr>
          <w:rFonts w:asciiTheme="majorHAnsi" w:hAnsiTheme="majorHAnsi"/>
        </w:rPr>
      </w:pPr>
    </w:p>
    <w:p w14:paraId="002A9BB3" w14:textId="3108C904" w:rsidR="00A421D9" w:rsidRPr="00174620"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in-sample period. It shows the </w:t>
      </w:r>
      <w:r w:rsidR="00796350" w:rsidRPr="00174620">
        <w:rPr>
          <w:rFonts w:asciiTheme="majorHAnsi" w:hAnsiTheme="majorHAnsi"/>
        </w:rPr>
        <w:t xml:space="preserve">estimated </w:t>
      </w:r>
      <w:r w:rsidRPr="00174620">
        <w:rPr>
          <w:rFonts w:asciiTheme="majorHAnsi" w:hAnsiTheme="majorHAnsi"/>
        </w:rPr>
        <w:t>weights for each individual model, as well a</w:t>
      </w:r>
      <w:r w:rsidR="00796350" w:rsidRPr="00174620">
        <w:rPr>
          <w:rFonts w:asciiTheme="majorHAnsi" w:hAnsiTheme="majorHAnsi"/>
        </w:rPr>
        <w:t>s the Root Mean Squared Error (RMSE) and Mean Average Error (</w:t>
      </w:r>
      <w:r w:rsidR="00A503A4" w:rsidRPr="00174620">
        <w:rPr>
          <w:rFonts w:asciiTheme="majorHAnsi" w:hAnsiTheme="majorHAnsi"/>
        </w:rPr>
        <w:t>MAE) for the in-sample period spanning the post-war era.</w:t>
      </w:r>
      <w:r w:rsidR="007F4012" w:rsidRPr="00174620">
        <w:rPr>
          <w:rFonts w:asciiTheme="majorHAnsi" w:hAnsiTheme="majorHAnsi"/>
        </w:rPr>
        <w:t xml:space="preserve">  Almost all of the component models receive some weight in the final ensemble, although the weights are far from uniform.  The highest weighted model is </w:t>
      </w:r>
      <w:proofErr w:type="spellStart"/>
      <w:r w:rsidR="007F4012" w:rsidRPr="00174620">
        <w:rPr>
          <w:rFonts w:asciiTheme="majorHAnsi" w:hAnsiTheme="majorHAnsi"/>
        </w:rPr>
        <w:t>Cuzan’s</w:t>
      </w:r>
      <w:proofErr w:type="spellEnd"/>
      <w:r w:rsidR="007F4012" w:rsidRPr="00174620">
        <w:rPr>
          <w:rFonts w:asciiTheme="majorHAnsi" w:hAnsiTheme="majorHAnsi"/>
        </w:rPr>
        <w:t xml:space="preserve"> </w:t>
      </w:r>
      <w:r w:rsidR="00AE0DFD" w:rsidRPr="00174620">
        <w:rPr>
          <w:rFonts w:asciiTheme="majorHAnsi" w:hAnsiTheme="majorHAnsi"/>
        </w:rPr>
        <w:t xml:space="preserve">which </w:t>
      </w:r>
      <w:r w:rsidR="00A05BFC" w:rsidRPr="00174620">
        <w:rPr>
          <w:rFonts w:asciiTheme="majorHAnsi" w:hAnsiTheme="majorHAnsi"/>
        </w:rPr>
        <w:t>is based on the idea</w:t>
      </w:r>
      <w:r w:rsidR="00AE0DFD" w:rsidRPr="00174620">
        <w:rPr>
          <w:rFonts w:asciiTheme="majorHAnsi" w:hAnsiTheme="majorHAnsi"/>
        </w:rPr>
        <w:t xml:space="preserve"> that a fiscally expansionary policy, even controlling for Fair's variables </w:t>
      </w:r>
      <w:r w:rsidR="00AE0DFD" w:rsidRPr="00174620">
        <w:rPr>
          <w:rFonts w:asciiTheme="majorHAnsi" w:hAnsiTheme="majorHAnsi"/>
        </w:rPr>
        <w:lastRenderedPageBreak/>
        <w:t>measuring economic growth, time in office, and party, costs the incumbent party candidate an average of four percent points of the two-party vote</w:t>
      </w:r>
      <w:r w:rsidR="007F4012" w:rsidRPr="00174620">
        <w:rPr>
          <w:rFonts w:asciiTheme="majorHAnsi" w:hAnsiTheme="majorHAnsi"/>
        </w:rPr>
        <w:t xml:space="preserve">. In contrast, EBMA </w:t>
      </w:r>
      <w:r w:rsidR="00E523F5" w:rsidRPr="00174620">
        <w:rPr>
          <w:rFonts w:asciiTheme="majorHAnsi" w:hAnsiTheme="majorHAnsi"/>
        </w:rPr>
        <w:t xml:space="preserve">(almost) </w:t>
      </w:r>
      <w:r w:rsidR="007F4012" w:rsidRPr="00174620">
        <w:rPr>
          <w:rFonts w:asciiTheme="majorHAnsi" w:hAnsiTheme="majorHAnsi"/>
        </w:rPr>
        <w:t xml:space="preserve">entirely excludes 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This should not be interpreted to indicate that some models are “better”, but only that the EBMA procedure found this mix to provide the highest rate of in-sample predictive accuracy.</w:t>
      </w:r>
    </w:p>
    <w:p w14:paraId="39146BEE" w14:textId="3ACC6BE6" w:rsidR="00E523F5" w:rsidRPr="00174620" w:rsidRDefault="00E523F5" w:rsidP="00D67FB3">
      <w:pPr>
        <w:pStyle w:val="Manuscriptparagraph"/>
        <w:rPr>
          <w:rFonts w:asciiTheme="majorHAnsi" w:hAnsiTheme="majorHAnsi"/>
        </w:rPr>
      </w:pPr>
      <w:r w:rsidRPr="00174620">
        <w:rPr>
          <w:rFonts w:asciiTheme="majorHAnsi" w:hAnsiTheme="majorHAnsi"/>
        </w:rPr>
        <w:tab/>
        <w:t xml:space="preserve">What can be said about the results is that the EBMA model is more than 20% more accurate than any single model in terms of root mean squared error (RMSE) and more than a third more accurate than any single model in terms of mean average error. </w:t>
      </w:r>
    </w:p>
    <w:p w14:paraId="46BA36D8" w14:textId="0B64EEC0" w:rsidR="00BE2AA5" w:rsidRPr="00174620" w:rsidRDefault="001D370D" w:rsidP="00BE2AA5">
      <w:pPr>
        <w:pStyle w:val="Manuscriptparagraph"/>
        <w:rPr>
          <w:rFonts w:asciiTheme="majorHAnsi" w:hAnsiTheme="majorHAnsi"/>
        </w:rPr>
      </w:pPr>
      <w:r w:rsidRPr="00174620">
        <w:rPr>
          <w:rFonts w:asciiTheme="majorHAnsi" w:hAnsiTheme="majorHAnsi"/>
        </w:rPr>
        <w:tab/>
        <w:t xml:space="preserve">A visual representation of the kinds of predictive </w:t>
      </w:r>
      <w:r w:rsidR="00AE0DFD" w:rsidRPr="00174620">
        <w:rPr>
          <w:rFonts w:asciiTheme="majorHAnsi" w:hAnsiTheme="majorHAnsi"/>
        </w:rPr>
        <w:t>PDF</w:t>
      </w:r>
      <w:r w:rsidRPr="00174620">
        <w:rPr>
          <w:rFonts w:asciiTheme="majorHAnsi" w:hAnsiTheme="majorHAnsi"/>
        </w:rPr>
        <w:t xml:space="preserve">s generated by EBMA is provided in Figure 1.  </w:t>
      </w:r>
      <w:r w:rsidR="00A05BFC" w:rsidRPr="00174620">
        <w:rPr>
          <w:rFonts w:asciiTheme="majorHAnsi" w:hAnsiTheme="majorHAnsi"/>
        </w:rPr>
        <w:t xml:space="preserve">The PDF of our EBMA for 2004 and 2008 (in-sample) are illustrated as bold lines, and the predictive densities of the components of the ensemble are shown as dotted lines. The latter have been scaled by the weighting factors that have been developed through the EMBA procedure. These two graphs illustrate that the EBMA can be seen as a covering distribution, and show that for any given in-sample year, the EBMA does not necessarily produce the predictions closest to the actual result (shown as a vertical dashed line), though often it does. In 2008 the posterior PDF contains a small bump to the high end of the incumbent vote (around 49%) that also gets weighted and integrated into the mix, pushing the posterior </w:t>
      </w:r>
      <w:r w:rsidR="00A05BFC" w:rsidRPr="00174620">
        <w:rPr>
          <w:rFonts w:asciiTheme="majorHAnsi" w:hAnsiTheme="majorHAnsi"/>
          <w:b/>
        </w:rPr>
        <w:t>median</w:t>
      </w:r>
      <w:r w:rsidR="00A05BFC" w:rsidRPr="00174620">
        <w:rPr>
          <w:rFonts w:asciiTheme="majorHAnsi" w:hAnsiTheme="majorHAnsi"/>
        </w:rPr>
        <w:t xml:space="preserve"> close to the actual result.</w:t>
      </w:r>
    </w:p>
    <w:p w14:paraId="54A08168" w14:textId="77777777" w:rsidR="001D370D" w:rsidRPr="00174620" w:rsidRDefault="001D370D" w:rsidP="00BE2AA5">
      <w:pPr>
        <w:pStyle w:val="Manuscriptparagraph"/>
        <w:rPr>
          <w:rFonts w:asciiTheme="majorHAnsi" w:hAnsiTheme="majorHAnsi"/>
        </w:rPr>
      </w:pPr>
    </w:p>
    <w:p w14:paraId="496F79D4" w14:textId="1B360611" w:rsidR="00CF5666" w:rsidRPr="00174620" w:rsidRDefault="00E523F5" w:rsidP="00E523F5">
      <w:pPr>
        <w:pStyle w:val="Manuscriptparagraph"/>
        <w:ind w:firstLine="720"/>
        <w:rPr>
          <w:rFonts w:asciiTheme="majorHAnsi" w:hAnsiTheme="majorHAnsi"/>
        </w:rPr>
      </w:pPr>
      <w:r w:rsidRPr="00174620">
        <w:rPr>
          <w:rFonts w:asciiTheme="majorHAnsi" w:hAnsiTheme="majorHAnsi"/>
        </w:rPr>
        <w:t xml:space="preserve">Having developed this approach, we can take the actual predictions of each model in the ensemble to produce an EBMA forecast using the weights we develop, along with </w:t>
      </w:r>
      <w:r w:rsidRPr="00174620">
        <w:rPr>
          <w:rFonts w:asciiTheme="majorHAnsi" w:hAnsiTheme="majorHAnsi"/>
          <w:b/>
          <w:color w:val="FF0000"/>
        </w:rPr>
        <w:t>XXXX (JACOB)?</w:t>
      </w:r>
      <w:r w:rsidRPr="00174620">
        <w:rPr>
          <w:rFonts w:asciiTheme="majorHAnsi" w:hAnsiTheme="majorHAnsi"/>
        </w:rPr>
        <w:t xml:space="preserve"> You can find the component predictions in the other articles in this symposium. Using these with the information our approach develops about their individual accuracies, </w:t>
      </w:r>
      <w:r w:rsidRPr="00174620">
        <w:rPr>
          <w:rFonts w:asciiTheme="majorHAnsi" w:hAnsiTheme="majorHAnsi"/>
        </w:rPr>
        <w:lastRenderedPageBreak/>
        <w:t xml:space="preserve">we estimate that the vote for the Democratic Candidate for the 2012 U.S. Presidential Election will be </w:t>
      </w:r>
      <w:r w:rsidR="0026212C">
        <w:rPr>
          <w:rFonts w:asciiTheme="majorHAnsi" w:hAnsiTheme="majorHAnsi"/>
        </w:rPr>
        <w:t xml:space="preserve">51.2% with a 95% Credible Interval of </w:t>
      </w:r>
    </w:p>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4CF7805C" w14:textId="49D02ADC" w:rsidR="007F4012" w:rsidRPr="00174620" w:rsidRDefault="007F4012" w:rsidP="00BE2AA5">
      <w:pPr>
        <w:pStyle w:val="Manuscriptparagraph"/>
        <w:rPr>
          <w:rFonts w:asciiTheme="majorHAnsi" w:hAnsiTheme="majorHAnsi"/>
        </w:rPr>
      </w:pPr>
      <w:r w:rsidRPr="00174620">
        <w:rPr>
          <w:rFonts w:asciiTheme="majorHAnsi" w:hAnsiTheme="majorHAnsi"/>
        </w:rPr>
        <w:t xml:space="preserve">Figure 1: EBMA posterior distributions for the 2004 and 2008 Elections (in-sample).  </w:t>
      </w:r>
    </w:p>
    <w:p w14:paraId="43278F42" w14:textId="659BC221" w:rsidR="008F149B" w:rsidRPr="00174620" w:rsidRDefault="0026212C" w:rsidP="007F4012">
      <w:pPr>
        <w:pStyle w:val="Manuscriptparagraph"/>
        <w:jc w:val="center"/>
        <w:rPr>
          <w:rFonts w:asciiTheme="majorHAnsi" w:hAnsiTheme="majorHAnsi"/>
        </w:rPr>
      </w:pPr>
      <w:bookmarkStart w:id="1" w:name="_GoBack"/>
      <w:r>
        <w:rPr>
          <w:rFonts w:asciiTheme="majorHAnsi" w:hAnsiTheme="majorHAnsi"/>
          <w:noProof/>
        </w:rPr>
        <w:drawing>
          <wp:inline distT="0" distB="0" distL="0" distR="0" wp14:anchorId="4DBFE269" wp14:editId="6CA08859">
            <wp:extent cx="4572000" cy="5494655"/>
            <wp:effectExtent l="0" t="0" r="0" b="0"/>
            <wp:docPr id="2"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bookmarkEnd w:id="1"/>
    </w:p>
    <w:p w14:paraId="03B1D075" w14:textId="65D900E7" w:rsidR="00211DE5" w:rsidRPr="00174620" w:rsidRDefault="00A85A47" w:rsidP="00CE2280">
      <w:pPr>
        <w:pStyle w:val="Manuscriptparagraph"/>
        <w:rPr>
          <w:rFonts w:asciiTheme="majorHAnsi" w:hAnsiTheme="majorHAnsi"/>
        </w:rPr>
      </w:pPr>
      <w:r w:rsidRPr="00174620">
        <w:rPr>
          <w:rFonts w:asciiTheme="majorHAnsi" w:hAnsiTheme="majorHAnsi"/>
        </w:rPr>
        <w:lastRenderedPageBreak/>
        <w:t>The dash</w:t>
      </w:r>
      <w:r w:rsidR="00AE0DFD" w:rsidRPr="00174620">
        <w:rPr>
          <w:rFonts w:asciiTheme="majorHAnsi" w:hAnsiTheme="majorHAnsi"/>
        </w:rPr>
        <w:t>ed curves show the component PDF</w:t>
      </w:r>
      <w:r w:rsidRPr="00174620">
        <w:rPr>
          <w:rFonts w:asciiTheme="majorHAnsi" w:hAnsiTheme="majorHAnsi"/>
        </w:rPr>
        <w:t xml:space="preserve">s and the solid curve shows the final EBMA </w:t>
      </w:r>
      <w:r w:rsidR="00AE0DFD" w:rsidRPr="00174620">
        <w:rPr>
          <w:rFonts w:asciiTheme="majorHAnsi" w:hAnsiTheme="majorHAnsi"/>
        </w:rPr>
        <w:t>PDF</w:t>
      </w:r>
      <w:r w:rsidRPr="00174620">
        <w:rPr>
          <w:rFonts w:asciiTheme="majorHAnsi" w:hAnsiTheme="majorHAnsi"/>
        </w:rPr>
        <w:t xml:space="preserve">. The light dashes at the bottom show the point predictions of each </w:t>
      </w:r>
      <w:proofErr w:type="gramStart"/>
      <w:r w:rsidRPr="00174620">
        <w:rPr>
          <w:rFonts w:asciiTheme="majorHAnsi" w:hAnsiTheme="majorHAnsi"/>
        </w:rPr>
        <w:t>component,</w:t>
      </w:r>
      <w:proofErr w:type="gramEnd"/>
      <w:r w:rsidRPr="00174620">
        <w:rPr>
          <w:rFonts w:asciiTheme="majorHAnsi" w:hAnsiTheme="majorHAnsi"/>
        </w:rPr>
        <w:t xml:space="preserve"> the dark dash shows the EBMA posterior median, and the vertical dotted line shows the actual election outcome.   </w:t>
      </w:r>
    </w:p>
    <w:sdt>
      <w:sdtPr>
        <w:rPr>
          <w:rFonts w:eastAsia="Times New Roman" w:cs="Times New Roman"/>
          <w:b w:val="0"/>
          <w:bCs w:val="0"/>
          <w:color w:val="auto"/>
          <w:sz w:val="24"/>
          <w:szCs w:val="24"/>
          <w:lang w:bidi="ar-SA"/>
        </w:rPr>
        <w:id w:val="1257168685"/>
        <w:docPartObj>
          <w:docPartGallery w:val="Bibliographies"/>
          <w:docPartUnique/>
        </w:docPartObj>
      </w:sdtPr>
      <w:sdtContent>
        <w:p w14:paraId="1AB66DB0" w14:textId="56E46796" w:rsidR="008341C7" w:rsidRPr="00174620" w:rsidRDefault="008341C7">
          <w:pPr>
            <w:pStyle w:val="Heading1"/>
            <w:rPr>
              <w:sz w:val="24"/>
              <w:szCs w:val="24"/>
            </w:rPr>
          </w:pPr>
          <w:r w:rsidRPr="00174620">
            <w:rPr>
              <w:sz w:val="24"/>
              <w:szCs w:val="24"/>
            </w:rPr>
            <w:t>References</w:t>
          </w:r>
          <w:r w:rsidR="00A64719" w:rsidRPr="00174620">
            <w:rPr>
              <w:sz w:val="24"/>
              <w:szCs w:val="24"/>
            </w:rPr>
            <w:t xml:space="preserve"> (this will change as we add </w:t>
          </w:r>
          <w:commentRangeStart w:id="2"/>
          <w:r w:rsidR="00A64719" w:rsidRPr="00174620">
            <w:rPr>
              <w:sz w:val="24"/>
              <w:szCs w:val="24"/>
            </w:rPr>
            <w:t>refs</w:t>
          </w:r>
          <w:commentRangeEnd w:id="2"/>
          <w:r w:rsidR="00777EF7" w:rsidRPr="00174620">
            <w:rPr>
              <w:rStyle w:val="CommentReference"/>
              <w:rFonts w:eastAsia="Times New Roman" w:cs="Times New Roman"/>
              <w:b w:val="0"/>
              <w:bCs w:val="0"/>
              <w:color w:val="auto"/>
              <w:sz w:val="24"/>
              <w:szCs w:val="24"/>
              <w:lang w:bidi="ar-SA"/>
            </w:rPr>
            <w:commentReference w:id="2"/>
          </w:r>
          <w:r w:rsidR="00A64719" w:rsidRPr="00174620">
            <w:rPr>
              <w:sz w:val="24"/>
              <w:szCs w:val="24"/>
            </w:rPr>
            <w:t>.</w:t>
          </w:r>
        </w:p>
        <w:sdt>
          <w:sdtPr>
            <w:rPr>
              <w:rFonts w:asciiTheme="majorHAnsi" w:hAnsiTheme="majorHAnsi"/>
              <w:sz w:val="24"/>
              <w:szCs w:val="24"/>
            </w:rPr>
            <w:id w:val="111145805"/>
            <w:bibliography/>
          </w:sdtPr>
          <w:sdtContent>
            <w:p w14:paraId="0FBBB107" w14:textId="049841E7" w:rsidR="00CF5A06" w:rsidRPr="00174620" w:rsidRDefault="008341C7"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sz w:val="24"/>
                  <w:szCs w:val="24"/>
                </w:rPr>
                <w:fldChar w:fldCharType="begin"/>
              </w:r>
              <w:r w:rsidRPr="00174620">
                <w:rPr>
                  <w:rFonts w:asciiTheme="majorHAnsi" w:hAnsiTheme="majorHAnsi" w:cs="Courier New"/>
                  <w:sz w:val="24"/>
                  <w:szCs w:val="24"/>
                </w:rPr>
                <w:instrText xml:space="preserve"> BIBLIOGRAPHY </w:instrText>
              </w:r>
              <w:r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 xml:space="preserve">Feldkircher, M. (2010). Forecast Combination and Bayesian Model Averaging: A Prior Sensitivity Analysis. </w:t>
              </w:r>
              <w:r w:rsidR="00CF5A06" w:rsidRPr="00174620">
                <w:rPr>
                  <w:rFonts w:asciiTheme="majorHAnsi" w:hAnsiTheme="majorHAnsi" w:cs="Courier New"/>
                  <w:i/>
                  <w:iCs/>
                  <w:noProof/>
                  <w:sz w:val="24"/>
                  <w:szCs w:val="24"/>
                </w:rPr>
                <w:t>Journal of Forecasting, {in press}</w:t>
              </w:r>
              <w:r w:rsidR="00CF5A06" w:rsidRPr="00174620">
                <w:rPr>
                  <w:rFonts w:asciiTheme="majorHAnsi" w:hAnsiTheme="majorHAnsi" w:cs="Courier New"/>
                  <w:noProof/>
                  <w:sz w:val="24"/>
                  <w:szCs w:val="24"/>
                </w:rPr>
                <w:t>.</w:t>
              </w:r>
            </w:p>
            <w:p w14:paraId="7588B394" w14:textId="77777777" w:rsidR="00CF5A06" w:rsidRPr="00174620" w:rsidRDefault="00CF5A06" w:rsidP="00777EF7">
              <w:pPr>
                <w:spacing w:line="480" w:lineRule="auto"/>
                <w:ind w:hanging="720"/>
                <w:rPr>
                  <w:rFonts w:asciiTheme="majorHAnsi" w:hAnsiTheme="majorHAnsi" w:cs="Courier New"/>
                  <w:sz w:val="24"/>
                  <w:szCs w:val="24"/>
                </w:rPr>
              </w:pPr>
            </w:p>
            <w:p w14:paraId="2E831663"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Gary Koop, D. K. (2009). </w:t>
              </w:r>
              <w:r w:rsidRPr="00174620">
                <w:rPr>
                  <w:rFonts w:asciiTheme="majorHAnsi" w:hAnsiTheme="majorHAnsi" w:cs="Courier New"/>
                  <w:i/>
                  <w:iCs/>
                  <w:noProof/>
                  <w:sz w:val="24"/>
                  <w:szCs w:val="24"/>
                </w:rPr>
                <w:t>Forecasting Inflation Using Dynamic Model Averaging.</w:t>
              </w:r>
              <w:r w:rsidRPr="00174620">
                <w:rPr>
                  <w:rFonts w:asciiTheme="majorHAnsi" w:hAnsiTheme="majorHAnsi" w:cs="Courier New"/>
                  <w:noProof/>
                  <w:sz w:val="24"/>
                  <w:szCs w:val="24"/>
                </w:rPr>
                <w:t xml:space="preserve"> </w:t>
              </w:r>
            </w:p>
            <w:p w14:paraId="41D72575" w14:textId="77777777" w:rsidR="00777EF7" w:rsidRPr="00174620" w:rsidRDefault="00777EF7" w:rsidP="00777EF7">
              <w:pPr>
                <w:ind w:hanging="720"/>
                <w:rPr>
                  <w:rFonts w:asciiTheme="majorHAnsi" w:hAnsiTheme="majorHAnsi"/>
                  <w:sz w:val="24"/>
                  <w:szCs w:val="24"/>
                </w:rPr>
              </w:pPr>
            </w:p>
            <w:p w14:paraId="75FE9A52" w14:textId="766769A4"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Jacob M. Montgomery, F. M.</w:t>
              </w:r>
              <w:r w:rsidR="00777EF7" w:rsidRPr="00174620">
                <w:rPr>
                  <w:rFonts w:asciiTheme="majorHAnsi" w:hAnsiTheme="majorHAnsi" w:cs="Courier New"/>
                  <w:noProof/>
                  <w:sz w:val="24"/>
                  <w:szCs w:val="24"/>
                </w:rPr>
                <w:t xml:space="preserve"> Hollenbach, and Michael D. Ward,</w:t>
              </w:r>
              <w:r w:rsidRPr="00174620">
                <w:rPr>
                  <w:rFonts w:asciiTheme="majorHAnsi" w:hAnsiTheme="majorHAnsi" w:cs="Courier New"/>
                  <w:noProof/>
                  <w:sz w:val="24"/>
                  <w:szCs w:val="24"/>
                </w:rPr>
                <w:t xml:space="preserve"> (2012, March 22). Improving Predictions Using Ensemble Bayesian Model Averaging. </w:t>
              </w:r>
              <w:r w:rsidRPr="00174620">
                <w:rPr>
                  <w:rFonts w:asciiTheme="majorHAnsi" w:hAnsiTheme="majorHAnsi" w:cs="Courier New"/>
                  <w:i/>
                  <w:iCs/>
                  <w:noProof/>
                  <w:sz w:val="24"/>
                  <w:szCs w:val="24"/>
                </w:rPr>
                <w:t>Political Analysis</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20</w:t>
              </w:r>
              <w:r w:rsidRPr="00174620">
                <w:rPr>
                  <w:rFonts w:asciiTheme="majorHAnsi" w:hAnsiTheme="majorHAnsi" w:cs="Courier New"/>
                  <w:noProof/>
                  <w:sz w:val="24"/>
                  <w:szCs w:val="24"/>
                </w:rPr>
                <w:t xml:space="preserve"> (tbd), p. tbd.</w:t>
              </w:r>
            </w:p>
            <w:p w14:paraId="0D367642" w14:textId="77777777" w:rsidR="00CF5A06" w:rsidRPr="00174620" w:rsidRDefault="00CF5A06" w:rsidP="00777EF7">
              <w:pPr>
                <w:spacing w:line="480" w:lineRule="auto"/>
                <w:ind w:hanging="720"/>
                <w:rPr>
                  <w:rFonts w:asciiTheme="majorHAnsi" w:hAnsiTheme="majorHAnsi" w:cs="Courier New"/>
                  <w:sz w:val="24"/>
                  <w:szCs w:val="24"/>
                </w:rPr>
              </w:pPr>
            </w:p>
            <w:p w14:paraId="43732B22"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Monica Billio, R. C. (2010). </w:t>
              </w:r>
              <w:r w:rsidRPr="00174620">
                <w:rPr>
                  <w:rFonts w:asciiTheme="majorHAnsi" w:hAnsiTheme="majorHAnsi" w:cs="Courier New"/>
                  <w:i/>
                  <w:iCs/>
                  <w:noProof/>
                  <w:sz w:val="24"/>
                  <w:szCs w:val="24"/>
                </w:rPr>
                <w:t>Combining Predictive Densities Using {B}ayesian Filtering with Applications to {US} Economics Data.</w:t>
              </w:r>
              <w:r w:rsidRPr="00174620">
                <w:rPr>
                  <w:rFonts w:asciiTheme="majorHAnsi" w:hAnsiTheme="majorHAnsi" w:cs="Courier New"/>
                  <w:noProof/>
                  <w:sz w:val="24"/>
                  <w:szCs w:val="24"/>
                </w:rPr>
                <w:t xml:space="preserve"> </w:t>
              </w:r>
            </w:p>
            <w:p w14:paraId="45CFDDEE" w14:textId="77777777" w:rsidR="00CF5A06" w:rsidRPr="00174620" w:rsidRDefault="00CF5A06" w:rsidP="00777EF7">
              <w:pPr>
                <w:spacing w:line="480" w:lineRule="auto"/>
                <w:ind w:hanging="720"/>
                <w:rPr>
                  <w:rFonts w:asciiTheme="majorHAnsi" w:hAnsiTheme="majorHAnsi" w:cs="Courier New"/>
                  <w:sz w:val="24"/>
                  <w:szCs w:val="24"/>
                </w:rPr>
              </w:pPr>
            </w:p>
            <w:p w14:paraId="344A8E32"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Raftery, A. E. (2005). Using Bayesian Model Averaging to Calibrate Forecast Ensembles. </w:t>
              </w:r>
              <w:r w:rsidRPr="00174620">
                <w:rPr>
                  <w:rFonts w:asciiTheme="majorHAnsi" w:hAnsiTheme="majorHAnsi" w:cs="Courier New"/>
                  <w:i/>
                  <w:iCs/>
                  <w:noProof/>
                  <w:sz w:val="24"/>
                  <w:szCs w:val="24"/>
                </w:rPr>
                <w:t>Monthly Weather Review</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133</w:t>
              </w:r>
              <w:r w:rsidRPr="00174620">
                <w:rPr>
                  <w:rFonts w:asciiTheme="majorHAnsi" w:hAnsiTheme="majorHAnsi" w:cs="Courier New"/>
                  <w:noProof/>
                  <w:sz w:val="24"/>
                  <w:szCs w:val="24"/>
                </w:rPr>
                <w:t xml:space="preserve"> (5), 1155-1174.</w:t>
              </w:r>
            </w:p>
            <w:p w14:paraId="6FEF90E5" w14:textId="77777777" w:rsidR="00CF5A06" w:rsidRPr="00174620" w:rsidRDefault="00CF5A06" w:rsidP="00777EF7">
              <w:pPr>
                <w:spacing w:line="480" w:lineRule="auto"/>
                <w:ind w:hanging="720"/>
                <w:rPr>
                  <w:rFonts w:asciiTheme="majorHAnsi" w:hAnsiTheme="majorHAnsi" w:cs="Courier New"/>
                  <w:sz w:val="24"/>
                  <w:szCs w:val="24"/>
                </w:rPr>
              </w:pPr>
            </w:p>
            <w:p w14:paraId="2B3DDBA6"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Richard M. Chmielecki, A. E. (2010). Probabilistic Visibility Forecasting Using Bayesian Model Averaging. </w:t>
              </w:r>
              <w:r w:rsidRPr="00174620">
                <w:rPr>
                  <w:rFonts w:asciiTheme="majorHAnsi" w:hAnsiTheme="majorHAnsi" w:cs="Courier New"/>
                  <w:i/>
                  <w:iCs/>
                  <w:noProof/>
                  <w:sz w:val="24"/>
                  <w:szCs w:val="24"/>
                </w:rPr>
                <w:t>Monthly Weather Review</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139</w:t>
              </w:r>
              <w:r w:rsidRPr="00174620">
                <w:rPr>
                  <w:rFonts w:asciiTheme="majorHAnsi" w:hAnsiTheme="majorHAnsi" w:cs="Courier New"/>
                  <w:noProof/>
                  <w:sz w:val="24"/>
                  <w:szCs w:val="24"/>
                </w:rPr>
                <w:t xml:space="preserve"> (5), 1626-1636.</w:t>
              </w:r>
            </w:p>
            <w:p w14:paraId="3FD9BD36" w14:textId="77777777" w:rsidR="00CF5A06" w:rsidRPr="00174620" w:rsidRDefault="00CF5A06" w:rsidP="00777EF7">
              <w:pPr>
                <w:spacing w:line="480" w:lineRule="auto"/>
                <w:ind w:hanging="720"/>
                <w:rPr>
                  <w:rFonts w:asciiTheme="majorHAnsi" w:hAnsiTheme="majorHAnsi" w:cs="Courier New"/>
                  <w:sz w:val="24"/>
                  <w:szCs w:val="24"/>
                </w:rPr>
              </w:pPr>
            </w:p>
            <w:p w14:paraId="7F202DB7"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lastRenderedPageBreak/>
                <w:t xml:space="preserve">Stevens, J. (2012, June 24). Political Scientists Are Lousy Forecasters. </w:t>
              </w:r>
              <w:r w:rsidRPr="00174620">
                <w:rPr>
                  <w:rFonts w:asciiTheme="majorHAnsi" w:hAnsiTheme="majorHAnsi" w:cs="Courier New"/>
                  <w:i/>
                  <w:iCs/>
                  <w:noProof/>
                  <w:sz w:val="24"/>
                  <w:szCs w:val="24"/>
                </w:rPr>
                <w:t>New York Times Sunday Review</w:t>
              </w:r>
              <w:r w:rsidRPr="00174620">
                <w:rPr>
                  <w:rFonts w:asciiTheme="majorHAnsi" w:hAnsiTheme="majorHAnsi" w:cs="Courier New"/>
                  <w:noProof/>
                  <w:sz w:val="24"/>
                  <w:szCs w:val="24"/>
                </w:rPr>
                <w:t xml:space="preserve"> , p. SR6.</w:t>
              </w:r>
            </w:p>
            <w:p w14:paraId="23981C4D" w14:textId="77777777" w:rsidR="00CF5A06" w:rsidRPr="00174620" w:rsidRDefault="00CF5A06" w:rsidP="00777EF7">
              <w:pPr>
                <w:spacing w:line="480" w:lineRule="auto"/>
                <w:ind w:hanging="720"/>
                <w:rPr>
                  <w:rFonts w:asciiTheme="majorHAnsi" w:hAnsiTheme="majorHAnsi" w:cs="Courier New"/>
                  <w:sz w:val="24"/>
                  <w:szCs w:val="24"/>
                </w:rPr>
              </w:pPr>
            </w:p>
            <w:p w14:paraId="1086D173"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Tilmann Gneiting, T. L. (2010). </w:t>
              </w:r>
              <w:r w:rsidRPr="00174620">
                <w:rPr>
                  <w:rFonts w:asciiTheme="majorHAnsi" w:hAnsiTheme="majorHAnsi" w:cs="Courier New"/>
                  <w:i/>
                  <w:iCs/>
                  <w:noProof/>
                  <w:sz w:val="24"/>
                  <w:szCs w:val="24"/>
                </w:rPr>
                <w:t>Predicting Inflation: Professional Experts Versus No-Change Forecasts.</w:t>
              </w:r>
              <w:r w:rsidRPr="00174620">
                <w:rPr>
                  <w:rFonts w:asciiTheme="majorHAnsi" w:hAnsiTheme="majorHAnsi" w:cs="Courier New"/>
                  <w:noProof/>
                  <w:sz w:val="24"/>
                  <w:szCs w:val="24"/>
                </w:rPr>
                <w:t xml:space="preserve"> </w:t>
              </w:r>
            </w:p>
            <w:p w14:paraId="559DEDE7" w14:textId="77777777" w:rsidR="00CF5A06" w:rsidRPr="00174620" w:rsidRDefault="00CF5A06" w:rsidP="00777EF7">
              <w:pPr>
                <w:spacing w:line="480" w:lineRule="auto"/>
                <w:ind w:hanging="720"/>
                <w:rPr>
                  <w:rFonts w:asciiTheme="majorHAnsi" w:hAnsiTheme="majorHAnsi" w:cs="Courier New"/>
                  <w:sz w:val="24"/>
                  <w:szCs w:val="24"/>
                </w:rPr>
              </w:pPr>
            </w:p>
            <w:p w14:paraId="1F1DE7F2"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Veronica J. Berrocal, A. E. (2010). Probabilistic Weather Forecasting for Winter Road Maintenance. </w:t>
              </w:r>
              <w:r w:rsidRPr="00174620">
                <w:rPr>
                  <w:rFonts w:asciiTheme="majorHAnsi" w:hAnsiTheme="majorHAnsi" w:cs="Courier New"/>
                  <w:i/>
                  <w:iCs/>
                  <w:noProof/>
                  <w:sz w:val="24"/>
                  <w:szCs w:val="24"/>
                </w:rPr>
                <w:t>Journal of the American Statistical Association</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105</w:t>
              </w:r>
              <w:r w:rsidRPr="00174620">
                <w:rPr>
                  <w:rFonts w:asciiTheme="majorHAnsi" w:hAnsiTheme="majorHAnsi" w:cs="Courier New"/>
                  <w:noProof/>
                  <w:sz w:val="24"/>
                  <w:szCs w:val="24"/>
                </w:rPr>
                <w:t xml:space="preserve"> (490), 522-2537.</w:t>
              </w:r>
            </w:p>
            <w:p w14:paraId="0805B8FB" w14:textId="77777777" w:rsidR="00CF5A06" w:rsidRPr="00174620" w:rsidRDefault="00CF5A06" w:rsidP="00777EF7">
              <w:pPr>
                <w:spacing w:line="480" w:lineRule="auto"/>
                <w:ind w:hanging="720"/>
                <w:rPr>
                  <w:rFonts w:asciiTheme="majorHAnsi" w:hAnsiTheme="majorHAnsi" w:cs="Courier New"/>
                  <w:sz w:val="24"/>
                  <w:szCs w:val="24"/>
                </w:rPr>
              </w:pPr>
            </w:p>
            <w:p w14:paraId="5957E71C"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William A. Brock, S. N. (2007). Model Uncertainty and Policy Evaluation: Some Theory and Empirics. </w:t>
              </w:r>
              <w:r w:rsidRPr="00174620">
                <w:rPr>
                  <w:rFonts w:asciiTheme="majorHAnsi" w:hAnsiTheme="majorHAnsi" w:cs="Courier New"/>
                  <w:i/>
                  <w:iCs/>
                  <w:noProof/>
                  <w:sz w:val="24"/>
                  <w:szCs w:val="24"/>
                </w:rPr>
                <w:t>Journal of Econometrics</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136</w:t>
              </w:r>
              <w:r w:rsidRPr="00174620">
                <w:rPr>
                  <w:rFonts w:asciiTheme="majorHAnsi" w:hAnsiTheme="majorHAnsi" w:cs="Courier New"/>
                  <w:noProof/>
                  <w:sz w:val="24"/>
                  <w:szCs w:val="24"/>
                </w:rPr>
                <w:t xml:space="preserve"> (2), 629-664.</w:t>
              </w:r>
            </w:p>
            <w:p w14:paraId="3A29A739" w14:textId="77777777" w:rsidR="00CF5A06" w:rsidRPr="00174620" w:rsidRDefault="00CF5A06" w:rsidP="00777EF7">
              <w:pPr>
                <w:spacing w:line="480" w:lineRule="auto"/>
                <w:ind w:hanging="720"/>
                <w:rPr>
                  <w:rFonts w:asciiTheme="majorHAnsi" w:hAnsiTheme="majorHAnsi" w:cs="Courier New"/>
                  <w:sz w:val="24"/>
                  <w:szCs w:val="24"/>
                </w:rPr>
              </w:pPr>
            </w:p>
            <w:p w14:paraId="1C49FFDB"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Wright, J. H. (2008). Bayesian Model Averaging and Exchange Rate Forecasts. </w:t>
              </w:r>
              <w:r w:rsidRPr="00174620">
                <w:rPr>
                  <w:rFonts w:asciiTheme="majorHAnsi" w:hAnsiTheme="majorHAnsi" w:cs="Courier New"/>
                  <w:i/>
                  <w:iCs/>
                  <w:noProof/>
                  <w:sz w:val="24"/>
                  <w:szCs w:val="24"/>
                </w:rPr>
                <w:t>Journal of Econometrics</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146</w:t>
              </w:r>
              <w:r w:rsidRPr="00174620">
                <w:rPr>
                  <w:rFonts w:asciiTheme="majorHAnsi" w:hAnsiTheme="majorHAnsi" w:cs="Courier New"/>
                  <w:noProof/>
                  <w:sz w:val="24"/>
                  <w:szCs w:val="24"/>
                </w:rPr>
                <w:t xml:space="preserve"> (2), 329-341.</w:t>
              </w:r>
            </w:p>
            <w:p w14:paraId="54EEB77E" w14:textId="77777777" w:rsidR="00CF5A06" w:rsidRPr="00174620" w:rsidRDefault="00CF5A06" w:rsidP="00777EF7">
              <w:pPr>
                <w:spacing w:line="480" w:lineRule="auto"/>
                <w:ind w:hanging="720"/>
                <w:rPr>
                  <w:rFonts w:asciiTheme="majorHAnsi" w:hAnsiTheme="majorHAnsi" w:cs="Courier New"/>
                  <w:sz w:val="24"/>
                  <w:szCs w:val="24"/>
                </w:rPr>
              </w:pPr>
            </w:p>
            <w:p w14:paraId="5DE93080"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Wright, J. H. (2009). Forecasting US Inflation by Bayesian Model Averaging. </w:t>
              </w:r>
              <w:r w:rsidRPr="00174620">
                <w:rPr>
                  <w:rFonts w:asciiTheme="majorHAnsi" w:hAnsiTheme="majorHAnsi" w:cs="Courier New"/>
                  <w:i/>
                  <w:iCs/>
                  <w:noProof/>
                  <w:sz w:val="24"/>
                  <w:szCs w:val="24"/>
                </w:rPr>
                <w:t>Journal of Forecasting</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28</w:t>
              </w:r>
              <w:r w:rsidRPr="00174620">
                <w:rPr>
                  <w:rFonts w:asciiTheme="majorHAnsi" w:hAnsiTheme="majorHAnsi" w:cs="Courier New"/>
                  <w:noProof/>
                  <w:sz w:val="24"/>
                  <w:szCs w:val="24"/>
                </w:rPr>
                <w:t xml:space="preserve"> (2), 131-144.</w:t>
              </w:r>
            </w:p>
            <w:p w14:paraId="639ABAA6" w14:textId="001D135E" w:rsidR="008341C7" w:rsidRPr="00174620" w:rsidRDefault="008341C7" w:rsidP="00777EF7">
              <w:pPr>
                <w:spacing w:line="480" w:lineRule="auto"/>
                <w:ind w:left="720" w:hanging="720"/>
                <w:rPr>
                  <w:rFonts w:asciiTheme="majorHAnsi" w:hAnsiTheme="majorHAnsi"/>
                  <w:sz w:val="24"/>
                  <w:szCs w:val="24"/>
                </w:rPr>
              </w:pPr>
              <w:r w:rsidRPr="00174620">
                <w:rPr>
                  <w:rFonts w:asciiTheme="majorHAnsi" w:hAnsiTheme="majorHAnsi" w:cs="Courier New"/>
                  <w:b/>
                  <w:bCs/>
                  <w:noProof/>
                  <w:sz w:val="24"/>
                  <w:szCs w:val="24"/>
                </w:rPr>
                <w:fldChar w:fldCharType="end"/>
              </w:r>
            </w:p>
          </w:sdtContent>
        </w:sdt>
      </w:sdtContent>
    </w:sdt>
    <w:p w14:paraId="5FAFA5A6" w14:textId="77777777" w:rsidR="008F149B" w:rsidRPr="00174620" w:rsidRDefault="008F149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77777777" w:rsidR="00F8127A" w:rsidRPr="00174620" w:rsidRDefault="00F8127A" w:rsidP="00CE2280">
      <w:pPr>
        <w:pStyle w:val="Manuscriptparagraph"/>
        <w:rPr>
          <w:rFonts w:asciiTheme="majorHAnsi" w:hAnsiTheme="majorHAnsi"/>
        </w:rPr>
      </w:pPr>
    </w:p>
    <w:p w14:paraId="2F894391" w14:textId="77777777" w:rsidR="00C0462E"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About the authors</w:t>
      </w:r>
    </w:p>
    <w:sdt>
      <w:sdtPr>
        <w:rPr>
          <w:rFonts w:asciiTheme="majorHAnsi" w:hAnsiTheme="majorHAnsi"/>
          <w:sz w:val="24"/>
          <w:szCs w:val="24"/>
        </w:rPr>
        <w:id w:val="-68435313"/>
        <w:docPartObj>
          <w:docPartGallery w:val="Bibliographies"/>
          <w:docPartUnique/>
        </w:docPartObj>
      </w:sdtPr>
      <w:sdtContent>
        <w:p w14:paraId="3FF1EF43" w14:textId="2071E18E" w:rsidR="00CE2280"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Jacob Montgomery is an Assistant Professor</w:t>
          </w:r>
          <w:r w:rsidR="0077361B" w:rsidRPr="00174620">
            <w:rPr>
              <w:rFonts w:asciiTheme="majorHAnsi" w:hAnsiTheme="majorHAnsi" w:cs="Courier New"/>
              <w:sz w:val="24"/>
              <w:szCs w:val="24"/>
            </w:rPr>
            <w:t xml:space="preserve"> in the Department of </w:t>
          </w:r>
          <w:proofErr w:type="gramStart"/>
          <w:r w:rsidR="0077361B" w:rsidRPr="00174620">
            <w:rPr>
              <w:rFonts w:asciiTheme="majorHAnsi" w:hAnsiTheme="majorHAnsi" w:cs="Courier New"/>
              <w:sz w:val="24"/>
              <w:szCs w:val="24"/>
            </w:rPr>
            <w:t xml:space="preserve">Political </w:t>
          </w:r>
          <w:r w:rsidRPr="00174620">
            <w:rPr>
              <w:rFonts w:asciiTheme="majorHAnsi" w:hAnsiTheme="majorHAnsi" w:cs="Courier New"/>
              <w:sz w:val="24"/>
              <w:szCs w:val="24"/>
            </w:rPr>
            <w:t>Science</w:t>
          </w:r>
          <w:proofErr w:type="gramEnd"/>
          <w:r w:rsidRPr="00174620">
            <w:rPr>
              <w:rFonts w:asciiTheme="majorHAnsi" w:hAnsiTheme="majorHAnsi" w:cs="Courier New"/>
              <w:sz w:val="24"/>
              <w:szCs w:val="24"/>
            </w:rPr>
            <w:t xml:space="preserv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0189167D"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Florian </w:t>
      </w:r>
      <w:r w:rsidR="003938B5" w:rsidRPr="00174620">
        <w:rPr>
          <w:rFonts w:asciiTheme="majorHAnsi" w:hAnsiTheme="majorHAnsi" w:cs="Courier New"/>
          <w:sz w:val="24"/>
          <w:szCs w:val="24"/>
        </w:rPr>
        <w:t xml:space="preserve">M. </w:t>
      </w:r>
      <w:proofErr w:type="spellStart"/>
      <w:r w:rsidRPr="00174620">
        <w:rPr>
          <w:rFonts w:asciiTheme="majorHAnsi" w:hAnsiTheme="majorHAnsi" w:cs="Courier New"/>
          <w:sz w:val="24"/>
          <w:szCs w:val="24"/>
        </w:rPr>
        <w:t>Hollenbach</w:t>
      </w:r>
      <w:proofErr w:type="spellEnd"/>
      <w:r w:rsidRPr="00174620">
        <w:rPr>
          <w:rFonts w:asciiTheme="majorHAnsi" w:hAnsiTheme="majorHAnsi" w:cs="Courier New"/>
          <w:sz w:val="24"/>
          <w:szCs w:val="24"/>
        </w:rPr>
        <w:t xml:space="preserve">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5DDCE30A"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Michael D. Ward is Professor of Political Science at Duke University. His primary interests focus on developing predictive models of political phenomena. </w:t>
      </w:r>
      <w:r w:rsidR="009B6D73" w:rsidRPr="00174620">
        <w:rPr>
          <w:rFonts w:asciiTheme="majorHAnsi" w:hAnsiTheme="majorHAnsi" w:cs="Courier New"/>
          <w:sz w:val="24"/>
          <w:szCs w:val="24"/>
        </w:rPr>
        <w:t xml:space="preserve">His Ph. D. (1977) is from the home of political science </w:t>
      </w:r>
      <w:r w:rsidR="00D37439" w:rsidRPr="00174620">
        <w:rPr>
          <w:rFonts w:asciiTheme="majorHAnsi" w:hAnsiTheme="majorHAnsi" w:cs="Courier New"/>
          <w:sz w:val="24"/>
          <w:szCs w:val="24"/>
        </w:rPr>
        <w:t>predictions</w:t>
      </w:r>
      <w:r w:rsidR="009B6D73" w:rsidRPr="00174620">
        <w:rPr>
          <w:rFonts w:asciiTheme="majorHAnsi" w:hAnsiTheme="majorHAnsi" w:cs="Courier New"/>
          <w:sz w:val="24"/>
          <w:szCs w:val="24"/>
        </w:rPr>
        <w:t>, Northwestern University.</w:t>
      </w:r>
      <w:r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1"/>
      <w:headerReference w:type="default" r:id="rId12"/>
      <w:footerReference w:type="even" r:id="rId13"/>
      <w:footerReference w:type="default" r:id="rId1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6B34B793" w14:textId="46A07182" w:rsidR="0026212C" w:rsidRDefault="0026212C">
      <w:pPr>
        <w:pStyle w:val="CommentText"/>
      </w:pPr>
      <w:r>
        <w:rPr>
          <w:rStyle w:val="CommentReference"/>
        </w:rPr>
        <w:annotationRef/>
      </w:r>
      <w:r>
        <w:t>What is going on with these citations?</w:t>
      </w:r>
    </w:p>
  </w:comment>
  <w:comment w:id="2" w:author="Author" w:initials="A">
    <w:p w14:paraId="5DDD40A8" w14:textId="77777777" w:rsidR="0026212C" w:rsidRDefault="0026212C">
      <w:pPr>
        <w:pStyle w:val="CommentText"/>
      </w:pPr>
      <w:r>
        <w:rPr>
          <w:rStyle w:val="CommentReference"/>
        </w:rPr>
        <w:annotationRef/>
      </w:r>
      <w:r>
        <w:t>Something is goofy in References, and second and subsequent authors don’t show up. I fixed our article but there is something we don’t understand about the source file.</w:t>
      </w:r>
    </w:p>
    <w:p w14:paraId="331C85AB" w14:textId="0C0661B3" w:rsidR="0026212C" w:rsidRDefault="0026212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26212C" w:rsidRDefault="0026212C">
      <w:r>
        <w:separator/>
      </w:r>
    </w:p>
  </w:endnote>
  <w:endnote w:type="continuationSeparator" w:id="0">
    <w:p w14:paraId="6D3EB4C3" w14:textId="77777777" w:rsidR="0026212C" w:rsidRDefault="0026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26212C" w:rsidRDefault="0026212C"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26212C" w:rsidRDefault="0026212C"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26212C" w:rsidRDefault="0026212C"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26212C" w:rsidRDefault="0026212C">
      <w:r>
        <w:separator/>
      </w:r>
    </w:p>
  </w:footnote>
  <w:footnote w:type="continuationSeparator" w:id="0">
    <w:p w14:paraId="7034B303" w14:textId="77777777" w:rsidR="0026212C" w:rsidRDefault="0026212C">
      <w:r>
        <w:continuationSeparator/>
      </w:r>
    </w:p>
  </w:footnote>
  <w:footnote w:id="1">
    <w:p w14:paraId="7E05C0E0" w14:textId="5861E13F" w:rsidR="0026212C" w:rsidRPr="00CA58B9" w:rsidRDefault="0026212C" w:rsidP="0058526D">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We feel that the models here are sufficiently parsimonious to ameliorate concerns about over-fitting.  Nonetheless, we have taken some additional steps (discussed below) to ensure that EBMA does not excessively over-weight any one model.   </w:t>
      </w:r>
    </w:p>
  </w:footnote>
  <w:footnote w:id="2">
    <w:p w14:paraId="21DA01EB" w14:textId="77B99142" w:rsidR="0026212C" w:rsidRPr="00CA58B9" w:rsidRDefault="0026212C"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This means that component models with highly correlated predictions will be penalized and receive less weight. </w:t>
      </w:r>
      <w:r>
        <w:rPr>
          <w:rFonts w:asciiTheme="majorHAnsi" w:hAnsiTheme="majorHAnsi" w:cs="Courier New"/>
          <w:sz w:val="20"/>
          <w:szCs w:val="20"/>
        </w:rPr>
        <w:t xml:space="preserve">  In addition, EBMA will assign a higher weight for models with fewer missing values in the calibration period.  </w:t>
      </w:r>
    </w:p>
  </w:footnote>
  <w:footnote w:id="3">
    <w:p w14:paraId="66567D02" w14:textId="5A12C9C9" w:rsidR="0026212C" w:rsidRPr="00CA58B9" w:rsidRDefault="0026212C"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We will describe the mathematical detail behind the EBMA model with few details here. For a more detailed description the reader should consult </w:t>
      </w:r>
      <w:r w:rsidRPr="00CA58B9">
        <w:rPr>
          <w:rFonts w:asciiTheme="majorHAnsi" w:hAnsiTheme="majorHAnsi" w:cs="Courier New"/>
          <w:noProof/>
          <w:sz w:val="20"/>
          <w:szCs w:val="20"/>
        </w:rPr>
        <w:t>Montgomery et alia, 2012.</w:t>
      </w:r>
    </w:p>
  </w:footnote>
  <w:footnote w:id="4">
    <w:p w14:paraId="0AE7C0C3" w14:textId="4F3B45C8" w:rsidR="0026212C" w:rsidRPr="00021DF3" w:rsidRDefault="0026212C">
      <w:pPr>
        <w:pStyle w:val="FootnoteText"/>
        <w:rPr>
          <w:rFonts w:asciiTheme="majorHAnsi" w:hAnsiTheme="majorHAnsi"/>
          <w:sz w:val="20"/>
          <w:szCs w:val="20"/>
        </w:rPr>
      </w:pPr>
      <w:r w:rsidRPr="00021DF3">
        <w:rPr>
          <w:rStyle w:val="FootnoteReference"/>
          <w:rFonts w:asciiTheme="majorHAnsi" w:hAnsiTheme="majorHAnsi"/>
          <w:sz w:val="20"/>
          <w:szCs w:val="20"/>
        </w:rPr>
        <w:footnoteRef/>
      </w:r>
      <w:r w:rsidRPr="00021DF3">
        <w:rPr>
          <w:rFonts w:asciiTheme="majorHAnsi" w:hAnsiTheme="majorHAnsi"/>
          <w:sz w:val="20"/>
          <w:szCs w:val="20"/>
        </w:rPr>
        <w:t xml:space="preserve"> The procedure for calculating model weights for this application builds on the results in Montgomery </w:t>
      </w:r>
      <w:proofErr w:type="gramStart"/>
      <w:r w:rsidRPr="00021DF3">
        <w:rPr>
          <w:rFonts w:asciiTheme="majorHAnsi" w:hAnsiTheme="majorHAnsi"/>
          <w:sz w:val="20"/>
          <w:szCs w:val="20"/>
        </w:rPr>
        <w:t>et</w:t>
      </w:r>
      <w:proofErr w:type="gramEnd"/>
      <w:r w:rsidRPr="00021DF3">
        <w:rPr>
          <w:rFonts w:asciiTheme="majorHAnsi" w:hAnsiTheme="majorHAnsi"/>
          <w:sz w:val="20"/>
          <w:szCs w:val="20"/>
        </w:rPr>
        <w:t xml:space="preserve"> alia (2012) in two ways.  First, it has been adjusted to handle </w:t>
      </w:r>
      <w:proofErr w:type="spellStart"/>
      <w:r w:rsidRPr="00021DF3">
        <w:rPr>
          <w:rFonts w:asciiTheme="majorHAnsi" w:hAnsiTheme="majorHAnsi"/>
          <w:sz w:val="20"/>
          <w:szCs w:val="20"/>
        </w:rPr>
        <w:t>missingness</w:t>
      </w:r>
      <w:proofErr w:type="spellEnd"/>
      <w:r w:rsidRPr="00021DF3">
        <w:rPr>
          <w:rFonts w:asciiTheme="majorHAnsi" w:hAnsiTheme="majorHAnsi"/>
          <w:sz w:val="20"/>
          <w:szCs w:val="20"/>
        </w:rPr>
        <w:t xml:space="preserve"> in forecasts for the calibration period (</w:t>
      </w:r>
      <w:r w:rsidRPr="00021DF3">
        <w:rPr>
          <w:rFonts w:asciiTheme="majorHAnsi" w:hAnsiTheme="majorHAnsi"/>
          <w:sz w:val="20"/>
          <w:szCs w:val="20"/>
          <w:highlight w:val="magenta"/>
        </w:rPr>
        <w:t>CITE</w:t>
      </w:r>
      <w:r w:rsidRPr="00021DF3">
        <w:rPr>
          <w:rFonts w:asciiTheme="majorHAnsi" w:hAnsiTheme="majorHAnsi"/>
          <w:sz w:val="20"/>
          <w:szCs w:val="20"/>
        </w:rPr>
        <w:t xml:space="preserve">: Fraley, </w:t>
      </w:r>
      <w:proofErr w:type="spellStart"/>
      <w:r w:rsidRPr="00021DF3">
        <w:rPr>
          <w:rFonts w:asciiTheme="majorHAnsi" w:hAnsiTheme="majorHAnsi"/>
          <w:sz w:val="20"/>
          <w:szCs w:val="20"/>
        </w:rPr>
        <w:t>Raftery</w:t>
      </w:r>
      <w:proofErr w:type="spellEnd"/>
      <w:r w:rsidRPr="00021DF3">
        <w:rPr>
          <w:rFonts w:asciiTheme="majorHAnsi" w:hAnsiTheme="majorHAnsi"/>
          <w:sz w:val="20"/>
          <w:szCs w:val="20"/>
        </w:rPr>
        <w:t xml:space="preserve">, and </w:t>
      </w:r>
      <w:proofErr w:type="spellStart"/>
      <w:r w:rsidRPr="00021DF3">
        <w:rPr>
          <w:rFonts w:asciiTheme="majorHAnsi" w:hAnsiTheme="majorHAnsi"/>
          <w:sz w:val="20"/>
          <w:szCs w:val="20"/>
        </w:rPr>
        <w:t>Gneiting</w:t>
      </w:r>
      <w:proofErr w:type="spellEnd"/>
      <w:r w:rsidRPr="00021DF3">
        <w:rPr>
          <w:rFonts w:asciiTheme="majorHAnsi" w:hAnsiTheme="majorHAnsi"/>
          <w:sz w:val="20"/>
          <w:szCs w:val="20"/>
        </w:rPr>
        <w:t xml:space="preserve"> 2010).  Second, we have made adjustments to ensure that EBMA does not place excessive weight on single component.  </w:t>
      </w:r>
      <w:r>
        <w:rPr>
          <w:rFonts w:asciiTheme="majorHAnsi" w:hAnsiTheme="majorHAnsi"/>
          <w:sz w:val="20"/>
          <w:szCs w:val="20"/>
        </w:rPr>
        <w:t xml:space="preserve">This is done to adjust for the fact that the data in the calibration period is not truly out-of-sample.  </w:t>
      </w:r>
      <w:r w:rsidRPr="00021DF3">
        <w:rPr>
          <w:rFonts w:asciiTheme="majorHAnsi" w:hAnsiTheme="majorHAnsi"/>
          <w:sz w:val="20"/>
          <w:szCs w:val="20"/>
        </w:rPr>
        <w:t xml:space="preserve">Roughly speaking, the model assumes there is a minimum probability (1/50) that each observation is “best” represented by each of the models.  Additional details are provided in </w:t>
      </w:r>
      <w:r w:rsidRPr="00021DF3">
        <w:rPr>
          <w:rFonts w:asciiTheme="majorHAnsi" w:hAnsiTheme="majorHAnsi"/>
          <w:sz w:val="20"/>
          <w:szCs w:val="20"/>
          <w:highlight w:val="magenta"/>
        </w:rPr>
        <w:t>CITE APSA PAPER</w:t>
      </w:r>
      <w:r w:rsidRPr="00021DF3">
        <w:rPr>
          <w:rFonts w:asciiTheme="majorHAnsi" w:hAnsiTheme="majorHAnsi"/>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26212C" w:rsidRDefault="0026212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26212C" w:rsidRDefault="0026212C"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26212C" w:rsidRDefault="0026212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6D37">
      <w:rPr>
        <w:rStyle w:val="PageNumber"/>
        <w:noProof/>
      </w:rPr>
      <w:t>6</w:t>
    </w:r>
    <w:r>
      <w:rPr>
        <w:rStyle w:val="PageNumber"/>
      </w:rPr>
      <w:fldChar w:fldCharType="end"/>
    </w:r>
  </w:p>
  <w:p w14:paraId="176D1316" w14:textId="77777777" w:rsidR="0026212C" w:rsidRPr="006C2BE9" w:rsidRDefault="0026212C"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26212C" w:rsidRDefault="002621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21DF3"/>
    <w:rsid w:val="00094063"/>
    <w:rsid w:val="000B2F84"/>
    <w:rsid w:val="000B4891"/>
    <w:rsid w:val="000F072C"/>
    <w:rsid w:val="000F58A5"/>
    <w:rsid w:val="00126EF7"/>
    <w:rsid w:val="00140C92"/>
    <w:rsid w:val="00174620"/>
    <w:rsid w:val="00186F1E"/>
    <w:rsid w:val="001D370D"/>
    <w:rsid w:val="001F5468"/>
    <w:rsid w:val="00211DE5"/>
    <w:rsid w:val="00252BF2"/>
    <w:rsid w:val="0026212C"/>
    <w:rsid w:val="0028091B"/>
    <w:rsid w:val="00285CDF"/>
    <w:rsid w:val="00292A64"/>
    <w:rsid w:val="00340D0F"/>
    <w:rsid w:val="003938B5"/>
    <w:rsid w:val="00397B6D"/>
    <w:rsid w:val="003A443B"/>
    <w:rsid w:val="003B4ABE"/>
    <w:rsid w:val="004A4D8A"/>
    <w:rsid w:val="004B1906"/>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B4BCA"/>
    <w:rsid w:val="006B781D"/>
    <w:rsid w:val="006C0D68"/>
    <w:rsid w:val="006C2BE9"/>
    <w:rsid w:val="0077361B"/>
    <w:rsid w:val="00777EF7"/>
    <w:rsid w:val="00796350"/>
    <w:rsid w:val="007B53D4"/>
    <w:rsid w:val="007E63DA"/>
    <w:rsid w:val="007F4012"/>
    <w:rsid w:val="008138FA"/>
    <w:rsid w:val="008341C7"/>
    <w:rsid w:val="00873664"/>
    <w:rsid w:val="008F149B"/>
    <w:rsid w:val="00902733"/>
    <w:rsid w:val="00936D37"/>
    <w:rsid w:val="0094146A"/>
    <w:rsid w:val="00973709"/>
    <w:rsid w:val="00997E9B"/>
    <w:rsid w:val="009B6D73"/>
    <w:rsid w:val="009F1F99"/>
    <w:rsid w:val="00A05BFC"/>
    <w:rsid w:val="00A1142D"/>
    <w:rsid w:val="00A13871"/>
    <w:rsid w:val="00A21BF1"/>
    <w:rsid w:val="00A421D9"/>
    <w:rsid w:val="00A503A4"/>
    <w:rsid w:val="00A64719"/>
    <w:rsid w:val="00A85A47"/>
    <w:rsid w:val="00AB4E67"/>
    <w:rsid w:val="00AD7EF5"/>
    <w:rsid w:val="00AE0DFD"/>
    <w:rsid w:val="00AF2DF5"/>
    <w:rsid w:val="00AF6153"/>
    <w:rsid w:val="00B10729"/>
    <w:rsid w:val="00B67C13"/>
    <w:rsid w:val="00B83C12"/>
    <w:rsid w:val="00BB2FBA"/>
    <w:rsid w:val="00BB733C"/>
    <w:rsid w:val="00BD63A9"/>
    <w:rsid w:val="00BE2AA5"/>
    <w:rsid w:val="00BF11BD"/>
    <w:rsid w:val="00BF4936"/>
    <w:rsid w:val="00C0462E"/>
    <w:rsid w:val="00C2180B"/>
    <w:rsid w:val="00C25473"/>
    <w:rsid w:val="00C73B4F"/>
    <w:rsid w:val="00CA526F"/>
    <w:rsid w:val="00CA58B9"/>
    <w:rsid w:val="00CB22F8"/>
    <w:rsid w:val="00CB5CA3"/>
    <w:rsid w:val="00CE2280"/>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36666"/>
    <w:rsid w:val="00E45533"/>
    <w:rsid w:val="00E523F5"/>
    <w:rsid w:val="00E83B88"/>
    <w:rsid w:val="00EB682D"/>
    <w:rsid w:val="00F8127A"/>
    <w:rsid w:val="00F91663"/>
    <w:rsid w:val="00F965E2"/>
    <w:rsid w:val="00FA098E"/>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3C2A64"/>
    <w:rsid w:val="004003EA"/>
    <w:rsid w:val="0054482A"/>
    <w:rsid w:val="00C71705"/>
    <w:rsid w:val="00C84C97"/>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12</b:RefOrder>
  </b:Source>
  <b:Source>
    <b:Tag>Raf05</b:Tag>
    <b:SourceType>JournalArticle</b:SourceType>
    <b:Guid>{2D043107-9648-CA46-8FA6-B46BC6B4F48A}</b:Guid>
    <b:Title>Using Bayesian Model Averaging to Calibrate Forecast Ensembles</b:Title>
    <b:Year>2005</b:Year>
    <b:Volume>133</b:Volume>
    <b:Pages>1155-1174</b:Pages>
    <b:Author>
      <b:Author>
        <b:NameList>
          <b:Person>
            <b:Last>Raftery</b:Last>
            <b:First>Adrian</b:First>
            <b:Middle>E. and Gneiting, Tilmann and Balabdaoui, Fadoua and Polakowski, Michael</b:Middle>
          </b:Person>
        </b:NameList>
      </b:Author>
    </b:Author>
    <b:JournalName>Monthly Weather Review</b:JournalName>
    <b:Issue>5</b:Issue>
    <b:RefOrder>9</b:RefOrder>
  </b:Source>
  <b:Source>
    <b:Tag>Bil</b:Tag>
    <b:SourceType>Report</b:SourceType>
    <b:Guid>{A00B3703-C224-9C40-A830-DE46E607F472}</b:Guid>
    <b:Author>
      <b:Author>
        <b:NameList>
          <b:Person>
            <b:Last>Monica Billio</b:Last>
            <b:First>Roberto</b:First>
            <b:Middle>Casarin, Francesco Ravazzolo, Herman K. Van Dijk</b:Middle>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Koo09</b:Tag>
    <b:SourceType>Report</b:SourceType>
    <b:Guid>{D06E2793-24AB-5041-98BE-C74C9159EDCB}</b:Guid>
    <b:Author>
      <b:Author>
        <b:NameList>
          <b:Person>
            <b:Last>Gary Koop</b:Last>
            <b:First>Dimitris</b:First>
            <b:Middle>Korobilis</b:Middle>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Bro07</b:Tag>
    <b:SourceType>JournalArticle</b:SourceType>
    <b:Guid>{1B1F9268-2875-2248-AE2D-2CA8D8548016}</b:Guid>
    <b:Author>
      <b:Author>
        <b:NameList>
          <b:Person>
            <b:Last>William A. Brock</b:Last>
            <b:First>Steven</b:First>
            <b:Middle>N. Durlauf, Kenneth D. West</b:Middle>
          </b:Person>
        </b:NameList>
      </b:Author>
    </b:Author>
    <b:Title>Model Uncertainty and Policy Evaluation: Some Theory and Empirics</b:Title>
    <b:Year>2007</b:Year>
    <b:Pages>629-664</b:Pages>
    <b:JournalName>Journal of Econometrics</b:JournalName>
    <b:Volume>136</b:Volume>
    <b:Issue>2</b:Issue>
    <b:RefOrder>5</b:RefOrder>
  </b:Source>
  <b:Source>
    <b:Tag>Jon08</b:Tag>
    <b:SourceType>JournalArticle</b:SourceType>
    <b:Guid>{D618BA5D-EB49-6448-B4E2-D523B9123737}</b:Guid>
    <b:Author>
      <b:Author>
        <b:NameList>
          <b:Person>
            <b:Last>Wright</b:Last>
            <b:First>Jonathan</b:First>
            <b:Middle>H.</b:Middle>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{5571E4A8-975F-C54C-89D5-920C7125A8C1}</b:Guid>
    <b:Author>
      <b:Author>
        <b:NameList>
          <b:Person>
            <b:Last>Wright</b:Last>
            <b:First>Jonathan</b:First>
            <b:Middle>H.</b:Middle>
          </b:Person>
        </b:NameList>
      </b:Author>
    </b:Author>
    <b:Title>Forecasting US Inflation by Bayesian Model Averaging</b:Title>
    <b:JournalName>Journal of Forecasting</b:JournalName>
    <b:Year>2009</b:Year>
    <b:Volume>28</b:Volume>
    <b:Issue>2</b:Issue>
    <b:Pages>131-144</b:Pages>
    <b:RefOrder>1</b:RefOrder>
  </b:Source>
  <b:Source>
    <b:Tag>Til10</b:Tag>
    <b:SourceType>Report</b:SourceType>
    <b:Guid>{8C92EF62-34CC-3141-8B67-9EA57EE650B2}</b:Guid>
    <b:Author>
      <b:Author>
        <b:NameList>
          <b:Person>
            <b:Last>Tilmann Gneiting</b:Last>
            <b:First>Thordis</b:First>
            <b:Middle>L. Thorarinsdottir</b:Middle>
          </b:Person>
        </b:NameList>
      </b:Author>
    </b:Author>
    <b:Title>Predicting Inflation: Professional Experts Versus No-Change Forecasts</b:Title>
    <b:Year>2010</b:Year>
    <b:Comments>Working Paper. http://arxiv.org/abs/1010.2318v1 (accessed June 15, 2011)</b:Comments>
    <b:RefOrder>2</b:RefOrder>
  </b:Source>
  <b:Source>
    <b:Tag>Mar10</b:Tag>
    <b:SourceType>JournalArticle</b:SourceType>
    <b:Guid>{9342E034-A91F-1942-8D42-6A8D8F3D4DB4}</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Ver10</b:Tag>
    <b:SourceType>JournalArticle</b:SourceType>
    <b:Guid>{33E985ED-3217-3345-90D7-296D33935A8F}</b:Guid>
    <b:Author>
      <b:Author>
        <b:NameList>
          <b:Person>
            <b:Last>Veronica J. Berrocal</b:Last>
            <b:First>Arian</b:First>
            <b:Middle>E. Raftery, Tilmann Gneiting, Richard C. Steed</b:Middle>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Ric10</b:Tag>
    <b:SourceType>JournalArticle</b:SourceType>
    <b:Guid>{DF1CFE19-A47B-F144-BE4D-8195BEEB69EE}</b:Guid>
    <b:Author>
      <b:Author>
        <b:NameList>
          <b:Person>
            <b:Last>Richard M. Chmielecki</b:Last>
            <b:First>Arian</b:First>
            <b:Middle>E. Raftery</b:Middle>
          </b:Person>
        </b:NameList>
      </b:Author>
    </b:Author>
    <b:Title>Probabilistic Visibility Forecasting Using Bayesian Model Averaging</b:Title>
    <b:JournalName>Monthly Weather Review</b:JournalName>
    <b:Year>2010</b:Year>
    <b:Volume>139</b:Volume>
    <b:Issue>5</b:Issue>
    <b:Pages>1626-1636</b:Pages>
    <b:RefOrder>8</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BA334E7F-10D1-B249-B444-0768B511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10</Pages>
  <Words>1978</Words>
  <Characters>11279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2012-07-27T20:51:00Z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