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EF7E0F"/>
          <w:sz w:val="20"/>
          <w:szCs w:val="20"/>
        </w:rPr>
        <w:t xml:space="preserve">STRATÉGIE DE CONTENU SEO</w:t>
      </w:r>
    </w:p>
    <w:p>
      <w:pPr>
        <w:spacing w:after="40"/>
      </w:pPr>
      <w:r>
        <w:rPr>
          <w:b/>
          <w:bCs/>
          <w:color w:val="244B64"/>
          <w:sz w:val="40"/>
          <w:szCs w:val="40"/>
        </w:rPr>
        <w:t xml:space="preserve">Renaud Rénov — Couvreur en Eure-et-Loir (28)</w:t>
      </w:r>
    </w:p>
    <w:p>
      <w:pPr>
        <w:spacing w:after="40"/>
      </w:pPr>
      <w:r>
        <w:rPr>
          <w:i/>
          <w:iCs/>
          <w:color w:val="555555"/>
          <w:sz w:val="24"/>
          <w:szCs w:val="24"/>
        </w:rPr>
        <w:t xml:space="preserve">Le filon « démoussage &amp; nettoyage de toiture » × communes</w:t>
      </w:r>
    </w:p>
    <w:p>
      <w:pPr>
        <w:pBdr>
          <w:bottom w:val="single" w:color="EF7E0F" w:sz="12" w:space="6"/>
        </w:pBdr>
        <w:spacing w:after="240"/>
      </w:pPr>
      <w:r>
        <w:rPr>
          <w:color w:val="777777"/>
          <w:sz w:val="18"/>
          <w:szCs w:val="18"/>
        </w:rPr>
        <w:t xml:space="preserve">Basé sur vos données Google Search Console (avr.–juil. 2026) et votre plan d'action existant · 9 juillet 2026</w:t>
      </w:r>
    </w:p>
    <w:p>
      <w:pPr>
        <w:pStyle w:val="Heading1"/>
      </w:pPr>
      <w:r>
        <w:t xml:space="preserve">L'essentiel en une page</w:t>
      </w:r>
    </w:p>
    <w:p>
      <w:pPr>
        <w:spacing w:after="140" w:line="276"/>
      </w:pPr>
      <w:r>
        <w:t xml:space="preserve">Vos données Search Console racontent une histoire limpide : Google vous a </w:t>
      </w:r>
      <w:r>
        <w:rPr>
          <w:i/>
          <w:iCs/>
        </w:rPr>
        <w:t xml:space="preserve">déjà</w:t>
      </w:r>
      <w:r>
        <w:t xml:space="preserve"> identifié comme le </w:t>
      </w:r>
      <w:r>
        <w:rPr>
          <w:b/>
          <w:bCs/>
        </w:rPr>
        <w:t xml:space="preserve">spécialiste du démoussage de toiture en Eure-et-Loir</w:t>
      </w:r>
      <w:r>
        <w:t xml:space="preserve">. Vous ressortez sur des dizaines de requêtes « démoussage de toiture à [commune] », souvent en page 1, parfois en position 1 à 3. Le problème n'est pas la visibilité — c'est la </w:t>
      </w:r>
      <w:r>
        <w:rPr>
          <w:b/>
          <w:bCs/>
        </w:rPr>
        <w:t xml:space="preserve">conversion du clic</w:t>
      </w:r>
      <w:r>
        <w:t xml:space="preserve"> : sur 219 impressions en 3 mois, seulement 12 clics, et un taux de clic de 0 % sur presque toutes ces requêtes de démoussage.</w:t>
      </w:r>
    </w:p>
    <w:p>
      <w:pPr>
        <w:spacing w:after="140" w:line="276"/>
      </w:pPr>
      <w:r>
        <w:t xml:space="preserve">La cause : ces requêtes tombent sur la page d'accueil ou des pages ville génériques, pas sur une page dédiée assez précise et rassurante pour déclencher le clic. La solution tient en une phrase : </w:t>
      </w:r>
      <w:r>
        <w:rPr>
          <w:b/>
          <w:bCs/>
        </w:rPr>
        <w:t xml:space="preserve">créer une page « démoussage de toiture à [commune] » par commune où vous êtes déjà vu, et y placer vos avant/après.</w:t>
      </w:r>
    </w:p>
    <w:p>
      <w:pPr>
        <w:spacing w:after="140" w:line="276"/>
      </w:pPr>
      <w:r>
        <w:t xml:space="preserve">C'est l'alignement parfait : le sujet sur lequel vous rankez déjà (démoussage) est exactement celui où vous avez un trésor sous-exploité — </w:t>
      </w:r>
      <w:r>
        <w:rPr>
          <w:b/>
          <w:bCs/>
        </w:rPr>
        <w:t xml:space="preserve">363 photos de nettoyage, dont des avant/après</w:t>
      </w:r>
      <w:r>
        <w:t xml:space="preserve">. La preuve visuelle est le contenu le plus convaincant qui soit pour ce service, et Google comme vos futurs clients l'adorent.</w:t>
      </w:r>
    </w:p>
    <w:p>
      <w:pPr>
        <w:spacing w:after="80"/>
      </w:pPr>
      <w:r>
        <w:t xml:space="preserve"/>
      </w:r>
    </w:p>
    <w:p>
      <w:pPr>
        <w:pBdr>
          <w:left w:val="single" w:color="EF7E0F" w:sz="24" w:space="8"/>
        </w:pBdr>
        <w:shd w:fill="F2F5F7" w:val="clear"/>
        <w:spacing w:after="120"/>
      </w:pPr>
      <w:r>
        <w:rPr>
          <w:b/>
          <w:bCs/>
          <w:color w:val="244B64"/>
        </w:rPr>
        <w:t xml:space="preserve">La règle d'or de cette stratégie : </w:t>
      </w:r>
      <w:r>
        <w:t xml:space="preserve">on ne cherche pas de nouveaux mots-clés, on transforme en clics ceux qu'on gagne déjà. Priorité aux communes qui ont des impressions mais zéro clic.</w:t>
      </w:r>
    </w:p>
    <w:p>
      <w:r>
        <w:br w:type="page"/>
      </w:r>
    </w:p>
    <w:p>
      <w:pPr>
        <w:pStyle w:val="Heading1"/>
      </w:pPr>
      <w:r>
        <w:t xml:space="preserve">1. Diagnostic : ce que disent vos données</w:t>
      </w:r>
    </w:p>
    <w:p>
      <w:pPr>
        <w:spacing w:after="140" w:line="276"/>
      </w:pPr>
      <w:r>
        <w:t xml:space="preserve">Sur les 3 derniers mois (recherche Web, France), la fiche de performance est celle d'un site jeune mais </w:t>
      </w:r>
      <w:r>
        <w:rPr>
          <w:b/>
          <w:bCs/>
        </w:rPr>
        <w:t xml:space="preserve">bien orienté</w:t>
      </w:r>
      <w:r>
        <w:t xml:space="preserve"> :</w:t>
      </w:r>
    </w:p>
    <w:tbl>
      <w:tblPr>
        <w:tblW w:type="dxa" w:w="9360"/>
        <w:tblBorders>
          <w:top w:val="single" w:color="D5DDE3" w:sz="4"/>
          <w:left w:val="single" w:color="D5DDE3" w:sz="4"/>
          <w:bottom w:val="single" w:color="D5DDE3" w:sz="4"/>
          <w:right w:val="single" w:color="D5DDE3" w:sz="4"/>
          <w:insideH w:val="single" w:color="D5DDE3" w:sz="4"/>
          <w:insideV w:val="single" w:color="D5DDE3" w:sz="4"/>
        </w:tblBorders>
      </w:tblPr>
      <w:tblGrid>
        <w:gridCol w:w="3300"/>
        <w:gridCol w:w="1600"/>
        <w:gridCol w:w="4460"/>
      </w:tblGrid>
      <w:tr>
        <w:trPr>
          <w:tblHeader/>
        </w:trPr>
        <w:tc>
          <w:tcPr>
            <w:tcW w:type="dxa" w:w="3300"/>
            <w:shd w:fill="244B64" w:val="clear"/>
            <w:tcMar>
              <w:top w:type="dxa" w:w="70"/>
              <w:left w:type="dxa" w:w="110"/>
              <w:bottom w:type="dxa" w:w="70"/>
              <w:right w:type="dxa" w:w="110"/>
            </w:tcMar>
          </w:tcPr>
          <w:p>
            <w:pPr>
              <w:spacing w:after="0" w:line="260"/>
              <w:jc w:val="left"/>
            </w:pPr>
            <w:r>
              <w:rPr>
                <w:b/>
                <w:bCs/>
                <w:color w:val="FFFFFF"/>
                <w:sz w:val="19"/>
                <w:szCs w:val="19"/>
              </w:rPr>
              <w:t xml:space="preserve">Indicateur</w:t>
            </w:r>
          </w:p>
        </w:tc>
        <w:tc>
          <w:tcPr>
            <w:tcW w:type="dxa" w:w="1600"/>
            <w:shd w:fill="244B64" w:val="clear"/>
            <w:tcMar>
              <w:top w:type="dxa" w:w="70"/>
              <w:left w:type="dxa" w:w="110"/>
              <w:bottom w:type="dxa" w:w="70"/>
              <w:right w:type="dxa" w:w="110"/>
            </w:tcMar>
          </w:tcPr>
          <w:p>
            <w:pPr>
              <w:spacing w:after="0" w:line="260"/>
              <w:jc w:val="left"/>
            </w:pPr>
            <w:r>
              <w:rPr>
                <w:b/>
                <w:bCs/>
                <w:color w:val="FFFFFF"/>
                <w:sz w:val="19"/>
                <w:szCs w:val="19"/>
              </w:rPr>
              <w:t xml:space="preserve">Valeur</w:t>
            </w:r>
          </w:p>
        </w:tc>
        <w:tc>
          <w:tcPr>
            <w:tcW w:type="dxa" w:w="4460"/>
            <w:shd w:fill="244B64" w:val="clear"/>
            <w:tcMar>
              <w:top w:type="dxa" w:w="70"/>
              <w:left w:type="dxa" w:w="110"/>
              <w:bottom w:type="dxa" w:w="70"/>
              <w:right w:type="dxa" w:w="110"/>
            </w:tcMar>
          </w:tcPr>
          <w:p>
            <w:pPr>
              <w:spacing w:after="0" w:line="260"/>
              <w:jc w:val="left"/>
            </w:pPr>
            <w:r>
              <w:rPr>
                <w:b/>
                <w:bCs/>
                <w:color w:val="FFFFFF"/>
                <w:sz w:val="19"/>
                <w:szCs w:val="19"/>
              </w:rPr>
              <w:t xml:space="preserve">Lecture</w:t>
            </w:r>
          </w:p>
        </w:tc>
      </w:tr>
      <w:tr>
        <w:trPr>
          <w:tblHeader w:val="false"/>
        </w:trPr>
        <w:tc>
          <w:tcPr>
            <w:tcW w:type="dxa" w:w="33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Clics totaux</w:t>
            </w:r>
          </w:p>
        </w:tc>
        <w:tc>
          <w:tcPr>
            <w:tcW w:type="dxa" w:w="16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12</w:t>
            </w:r>
          </w:p>
        </w:tc>
        <w:tc>
          <w:tcPr>
            <w:tcW w:type="dxa" w:w="446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Faible en absolu — tout est à construire</w:t>
            </w:r>
          </w:p>
        </w:tc>
      </w:tr>
      <w:tr>
        <w:trPr>
          <w:tblHeader w:val="false"/>
        </w:trPr>
        <w:tc>
          <w:tcPr>
            <w:tcW w:type="dxa" w:w="330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Impressions totales</w:t>
            </w:r>
          </w:p>
        </w:tc>
        <w:tc>
          <w:tcPr>
            <w:tcW w:type="dxa" w:w="160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219</w:t>
            </w:r>
          </w:p>
        </w:tc>
        <w:tc>
          <w:tcPr>
            <w:tcW w:type="dxa" w:w="446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Google vous montre déjà, surtout sur le démoussage</w:t>
            </w:r>
          </w:p>
        </w:tc>
      </w:tr>
      <w:tr>
        <w:trPr>
          <w:tblHeader w:val="false"/>
        </w:trPr>
        <w:tc>
          <w:tcPr>
            <w:tcW w:type="dxa" w:w="33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CTR moyen</w:t>
            </w:r>
          </w:p>
        </w:tc>
        <w:tc>
          <w:tcPr>
            <w:tcW w:type="dxa" w:w="16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 5,5 %</w:t>
            </w:r>
          </w:p>
        </w:tc>
        <w:tc>
          <w:tcPr>
            <w:tcW w:type="dxa" w:w="446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Correct sur desktop (9,2 %), très faible sur mobile (1,8 %)</w:t>
            </w:r>
          </w:p>
        </w:tc>
      </w:tr>
      <w:tr>
        <w:trPr>
          <w:tblHeader w:val="false"/>
        </w:trPr>
        <w:tc>
          <w:tcPr>
            <w:tcW w:type="dxa" w:w="330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Position moyenne</w:t>
            </w:r>
          </w:p>
        </w:tc>
        <w:tc>
          <w:tcPr>
            <w:tcW w:type="dxa" w:w="160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 6,9</w:t>
            </w:r>
          </w:p>
        </w:tc>
        <w:tc>
          <w:tcPr>
            <w:tcW w:type="dxa" w:w="446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Vous êtes souvent en page 1 : le potentiel est réel</w:t>
            </w:r>
          </w:p>
        </w:tc>
      </w:tr>
      <w:tr>
        <w:trPr>
          <w:tblHeader w:val="false"/>
        </w:trPr>
        <w:tc>
          <w:tcPr>
            <w:tcW w:type="dxa" w:w="33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Requête n°1 en position</w:t>
            </w:r>
          </w:p>
        </w:tc>
        <w:tc>
          <w:tcPr>
            <w:tcW w:type="dxa" w:w="16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 démoussage de toiture maintenon » (pos. 1)</w:t>
            </w:r>
          </w:p>
        </w:tc>
        <w:tc>
          <w:tcPr>
            <w:tcW w:type="dxa" w:w="446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…mais 0 clic : pas de page dédiée qui capte</w:t>
            </w:r>
          </w:p>
        </w:tc>
      </w:tr>
    </w:tbl>
    <w:p>
      <w:pPr>
        <w:spacing w:after="80"/>
      </w:pPr>
      <w:r>
        <w:t xml:space="preserve"/>
      </w:r>
    </w:p>
    <w:p>
      <w:pPr>
        <w:pStyle w:val="Heading2"/>
      </w:pPr>
      <w:r>
        <w:t xml:space="preserve">Le signal le plus fort : le démoussage géolocalisé</w:t>
      </w:r>
    </w:p>
    <w:p>
      <w:pPr>
        <w:spacing w:after="140" w:line="276"/>
      </w:pPr>
      <w:r>
        <w:t xml:space="preserve">La très grande majorité de vos impressions vient d'une seule famille de requêtes : </w:t>
      </w:r>
      <w:r>
        <w:rPr>
          <w:b/>
          <w:bCs/>
        </w:rPr>
        <w:t xml:space="preserve">« démoussage de toiture à [commune] »</w:t>
      </w:r>
      <w:r>
        <w:t xml:space="preserve">. Vous êtes positionné dessus pour une quinzaine de communes — sans avoir de page vraiment dédiée à chacune. C'est un filon prêt à récolter.</w:t>
      </w:r>
    </w:p>
    <w:p>
      <w:pPr>
        <w:spacing w:after="140" w:line="276"/>
      </w:pPr>
      <w:r>
        <w:t xml:space="preserve">À l'inverse, les requêtes « couvreur [ville] » (Épernon pos. 1,4 · Maintenon pos. 3,3) sont excellentes mais peu nombreuses. On les garde, mais le </w:t>
      </w:r>
      <w:r>
        <w:rPr>
          <w:b/>
          <w:bCs/>
        </w:rPr>
        <w:t xml:space="preserve">volume</w:t>
      </w:r>
      <w:r>
        <w:t xml:space="preserve"> est côté démoussage.</w:t>
      </w:r>
    </w:p>
    <w:p>
      <w:pPr>
        <w:spacing w:after="80"/>
      </w:pPr>
      <w:r>
        <w:t xml:space="preserve"/>
      </w:r>
    </w:p>
    <w:p>
      <w:pPr>
        <w:pStyle w:val="Heading2"/>
      </w:pPr>
      <w:r>
        <w:t xml:space="preserve">Les 3 fuites à colmater</w:t>
      </w:r>
    </w:p>
    <w:p>
      <w:pPr>
        <w:pStyle w:val="ListParagraph"/>
        <w:numPr>
          <w:ilvl w:val="0"/>
          <w:numId w:val="2"/>
        </w:numPr>
        <w:spacing w:after="60" w:line="270"/>
      </w:pPr>
      <w:r>
        <w:rPr>
          <w:b/>
          <w:bCs/>
        </w:rPr>
        <w:t xml:space="preserve">Pas de page dédiée par commune</w:t>
      </w:r>
      <w:r>
        <w:t xml:space="preserve"> — les requêtes ville tombent sur l'accueil, trop générale pour convaincre.</w:t>
      </w:r>
    </w:p>
    <w:p>
      <w:pPr>
        <w:pStyle w:val="ListParagraph"/>
        <w:numPr>
          <w:ilvl w:val="0"/>
          <w:numId w:val="2"/>
        </w:numPr>
        <w:spacing w:after="60" w:line="270"/>
      </w:pPr>
      <w:r>
        <w:rPr>
          <w:b/>
          <w:bCs/>
        </w:rPr>
        <w:t xml:space="preserve">CTR mobile à 1,8 %</w:t>
      </w:r>
      <w:r>
        <w:t xml:space="preserve"> — or le démoussage se cherche beaucoup sur mobile. Titres, avis et photos doivent « vendre » dès le SERP et le haut de page.</w:t>
      </w:r>
    </w:p>
    <w:p>
      <w:pPr>
        <w:pStyle w:val="ListParagraph"/>
        <w:numPr>
          <w:ilvl w:val="0"/>
          <w:numId w:val="2"/>
        </w:numPr>
        <w:spacing w:after="60" w:line="270"/>
      </w:pPr>
      <w:r>
        <w:rPr>
          <w:b/>
          <w:bCs/>
        </w:rPr>
        <w:t xml:space="preserve">Preuve visuelle absente des pages</w:t>
      </w:r>
      <w:r>
        <w:t xml:space="preserve"> — 363 photos dorment dans un dossier au lieu d'être le cœur des pages démoussage.</w:t>
      </w:r>
    </w:p>
    <w:p>
      <w:r>
        <w:br w:type="page"/>
      </w:r>
    </w:p>
    <w:p>
      <w:pPr>
        <w:pStyle w:val="Heading1"/>
      </w:pPr>
      <w:r>
        <w:t xml:space="preserve">2. La stratégie : une architecture « démoussage × commune »</w:t>
      </w:r>
    </w:p>
    <w:p>
      <w:pPr>
        <w:spacing w:after="140" w:line="276"/>
      </w:pPr>
      <w:r>
        <w:t xml:space="preserve">On construit un </w:t>
      </w:r>
      <w:r>
        <w:rPr>
          <w:b/>
          <w:bCs/>
        </w:rPr>
        <w:t xml:space="preserve">cocon sémantique</w:t>
      </w:r>
      <w:r>
        <w:t xml:space="preserve"> autour du service phare. Une page pilier « démoussage / nettoyage de toiture », et sous elle une page par commune. Chaque page ville est unique, ancrée localement, et illustrée par de vrais chantiers de la zone.</w:t>
      </w:r>
    </w:p>
    <w:p>
      <w:pPr>
        <w:pStyle w:val="Heading2"/>
      </w:pPr>
      <w:r>
        <w:t xml:space="preserve">Structure cible</w:t>
      </w:r>
    </w:p>
    <w:tbl>
      <w:tblPr>
        <w:tblW w:type="dxa" w:w="9360"/>
        <w:tblBorders>
          <w:top w:val="single" w:color="D5DDE3" w:sz="4"/>
          <w:left w:val="single" w:color="D5DDE3" w:sz="4"/>
          <w:bottom w:val="single" w:color="D5DDE3" w:sz="4"/>
          <w:right w:val="single" w:color="D5DDE3" w:sz="4"/>
          <w:insideH w:val="single" w:color="D5DDE3" w:sz="4"/>
          <w:insideV w:val="single" w:color="D5DDE3" w:sz="4"/>
        </w:tblBorders>
      </w:tblPr>
      <w:tblGrid>
        <w:gridCol w:w="3300"/>
        <w:gridCol w:w="6060"/>
      </w:tblGrid>
      <w:tr>
        <w:trPr>
          <w:tblHeader/>
        </w:trPr>
        <w:tc>
          <w:tcPr>
            <w:tcW w:type="dxa" w:w="3300"/>
            <w:shd w:fill="244B64" w:val="clear"/>
            <w:tcMar>
              <w:top w:type="dxa" w:w="70"/>
              <w:left w:type="dxa" w:w="110"/>
              <w:bottom w:type="dxa" w:w="70"/>
              <w:right w:type="dxa" w:w="110"/>
            </w:tcMar>
          </w:tcPr>
          <w:p>
            <w:pPr>
              <w:spacing w:after="0" w:line="260"/>
              <w:jc w:val="left"/>
            </w:pPr>
            <w:r>
              <w:rPr>
                <w:b/>
                <w:bCs/>
                <w:color w:val="FFFFFF"/>
                <w:sz w:val="19"/>
                <w:szCs w:val="19"/>
              </w:rPr>
              <w:t xml:space="preserve">Niveau</w:t>
            </w:r>
          </w:p>
        </w:tc>
        <w:tc>
          <w:tcPr>
            <w:tcW w:type="dxa" w:w="6060"/>
            <w:shd w:fill="244B64" w:val="clear"/>
            <w:tcMar>
              <w:top w:type="dxa" w:w="70"/>
              <w:left w:type="dxa" w:w="110"/>
              <w:bottom w:type="dxa" w:w="70"/>
              <w:right w:type="dxa" w:w="110"/>
            </w:tcMar>
          </w:tcPr>
          <w:p>
            <w:pPr>
              <w:spacing w:after="0" w:line="260"/>
              <w:jc w:val="left"/>
            </w:pPr>
            <w:r>
              <w:rPr>
                <w:b/>
                <w:bCs/>
                <w:color w:val="FFFFFF"/>
                <w:sz w:val="19"/>
                <w:szCs w:val="19"/>
              </w:rPr>
              <w:t xml:space="preserve">Page</w:t>
            </w:r>
          </w:p>
        </w:tc>
      </w:tr>
      <w:tr>
        <w:trPr>
          <w:tblHeader w:val="false"/>
        </w:trPr>
        <w:tc>
          <w:tcPr>
            <w:tcW w:type="dxa" w:w="33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Pilier (service)</w:t>
            </w:r>
          </w:p>
        </w:tc>
        <w:tc>
          <w:tcPr>
            <w:tcW w:type="dxa" w:w="606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/prestations/nettoyage-demoussage-toiture — le guide de référence du service (déjà existant, à enrichir)</w:t>
            </w:r>
          </w:p>
        </w:tc>
      </w:tr>
      <w:tr>
        <w:trPr>
          <w:tblHeader w:val="false"/>
        </w:trPr>
        <w:tc>
          <w:tcPr>
            <w:tcW w:type="dxa" w:w="330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Feuilles (service × ville)</w:t>
            </w:r>
          </w:p>
        </w:tc>
        <w:tc>
          <w:tcPr>
            <w:tcW w:type="dxa" w:w="606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/villes/[commune]/ orientée démoussage : Villiers-le-Morhier, Maintenon, Épernon, Bouglainval, Saint-Piat, Houx, Soulaires, Gasville-Oisème…</w:t>
            </w:r>
          </w:p>
        </w:tc>
      </w:tr>
      <w:tr>
        <w:trPr>
          <w:tblHeader w:val="false"/>
        </w:trPr>
        <w:tc>
          <w:tcPr>
            <w:tcW w:type="dxa" w:w="33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Preuve</w:t>
            </w:r>
          </w:p>
        </w:tc>
        <w:tc>
          <w:tcPr>
            <w:tcW w:type="dxa" w:w="606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Galerie avant/après par chantier, réutilisée sur la page ville de la zone concernée + page pilier</w:t>
            </w:r>
          </w:p>
        </w:tc>
      </w:tr>
      <w:tr>
        <w:trPr>
          <w:tblHeader w:val="false"/>
        </w:trPr>
        <w:tc>
          <w:tcPr>
            <w:tcW w:type="dxa" w:w="330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Conversion</w:t>
            </w:r>
          </w:p>
        </w:tc>
        <w:tc>
          <w:tcPr>
            <w:tcW w:type="dxa" w:w="606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CTA devis gratuit + numéro + avis local sur chaque page</w:t>
            </w:r>
          </w:p>
        </w:tc>
      </w:tr>
    </w:tbl>
    <w:p>
      <w:pPr>
        <w:spacing w:after="80"/>
      </w:pPr>
      <w:r>
        <w:t xml:space="preserve"/>
      </w:r>
    </w:p>
    <w:p>
      <w:pPr>
        <w:spacing w:after="140" w:line="276"/>
      </w:pPr>
      <w:r>
        <w:t xml:space="preserve">Pourquoi ça marche : Google voit un </w:t>
      </w:r>
      <w:r>
        <w:rPr>
          <w:b/>
          <w:bCs/>
        </w:rPr>
        <w:t xml:space="preserve">ensemble cohérent et profond</w:t>
      </w:r>
      <w:r>
        <w:t xml:space="preserve"> sur un thème précis (démoussage) ancré sur un territoire précis (28). C'est exactement ce qui fait grimper une page ville — bien plus qu'une page d'accueil qui parle de tout.</w:t>
      </w:r>
    </w:p>
    <w:p>
      <w:pPr>
        <w:spacing w:after="80"/>
      </w:pPr>
      <w:r>
        <w:t xml:space="preserve"/>
      </w:r>
    </w:p>
    <w:p>
      <w:pPr>
        <w:pStyle w:val="Heading2"/>
      </w:pPr>
      <w:r>
        <w:t xml:space="preserve">Le modèle de page « démoussage à [commune] »</w:t>
      </w:r>
    </w:p>
    <w:p>
      <w:pPr>
        <w:spacing w:after="140" w:line="276"/>
      </w:pPr>
      <w:r>
        <w:t xml:space="preserve">Chaque page ville suit le même squelette, mais avec un contenu 100 % unique (jamais de copier-coller d'une ville à l'autre — c'est la faute qui tue le SEO local) :</w:t>
      </w:r>
    </w:p>
    <w:p>
      <w:pPr>
        <w:pStyle w:val="ListParagraph"/>
        <w:numPr>
          <w:ilvl w:val="0"/>
          <w:numId w:val="3"/>
        </w:numPr>
        <w:spacing w:after="60" w:line="270"/>
      </w:pPr>
      <w:r>
        <w:rPr>
          <w:b/>
          <w:bCs/>
        </w:rPr>
        <w:t xml:space="preserve">H1 orienté besoin + ville</w:t>
      </w:r>
      <w:r>
        <w:t xml:space="preserve"> : ex. « Démoussage et nettoyage de toiture à Maintenon ». Focalisé sur LA ville, jamais « et alentours ».</w:t>
      </w:r>
    </w:p>
    <w:p>
      <w:pPr>
        <w:pStyle w:val="ListParagraph"/>
        <w:numPr>
          <w:ilvl w:val="0"/>
          <w:numId w:val="3"/>
        </w:numPr>
        <w:spacing w:after="60" w:line="270"/>
      </w:pPr>
      <w:r>
        <w:rPr>
          <w:b/>
          <w:bCs/>
        </w:rPr>
        <w:t xml:space="preserve">Accroche = le problème du client</w:t>
      </w:r>
      <w:r>
        <w:t xml:space="preserve"> : mousses, lichens, tuiles qui retiennent l'humidité, gouttières qui débordent. Pas de storytelling touristique.</w:t>
      </w:r>
    </w:p>
    <w:p>
      <w:pPr>
        <w:pStyle w:val="ListParagraph"/>
        <w:numPr>
          <w:ilvl w:val="0"/>
          <w:numId w:val="3"/>
        </w:numPr>
        <w:spacing w:after="60" w:line="270"/>
      </w:pPr>
      <w:r>
        <w:rPr>
          <w:b/>
          <w:bCs/>
        </w:rPr>
        <w:t xml:space="preserve">Avant / après local</w:t>
      </w:r>
      <w:r>
        <w:t xml:space="preserve"> : 2 à 4 chantiers de la commune ou d'une commune voisine, en avant/après côte à côte. C'est le bloc central.</w:t>
      </w:r>
    </w:p>
    <w:p>
      <w:pPr>
        <w:pStyle w:val="ListParagraph"/>
        <w:numPr>
          <w:ilvl w:val="0"/>
          <w:numId w:val="3"/>
        </w:numPr>
        <w:spacing w:after="60" w:line="270"/>
      </w:pPr>
      <w:r>
        <w:rPr>
          <w:b/>
          <w:bCs/>
        </w:rPr>
        <w:t xml:space="preserve">Le déroulé d'une intervention</w:t>
      </w:r>
      <w:r>
        <w:t xml:space="preserve"> : démoussage mécanique, traitement, rinçage, option hydrofuge — rassure et enrichit le champ sémantique.</w:t>
      </w:r>
    </w:p>
    <w:p>
      <w:pPr>
        <w:pStyle w:val="ListParagraph"/>
        <w:numPr>
          <w:ilvl w:val="0"/>
          <w:numId w:val="3"/>
        </w:numPr>
        <w:spacing w:after="60" w:line="270"/>
      </w:pPr>
      <w:r>
        <w:rPr>
          <w:b/>
          <w:bCs/>
        </w:rPr>
        <w:t xml:space="preserve">Un avis client de la zone</w:t>
      </w:r>
      <w:r>
        <w:t xml:space="preserve"> (vous en avez plusieurs signés « nettoyage »).</w:t>
      </w:r>
    </w:p>
    <w:p>
      <w:pPr>
        <w:pStyle w:val="ListParagraph"/>
        <w:numPr>
          <w:ilvl w:val="0"/>
          <w:numId w:val="3"/>
        </w:numPr>
        <w:spacing w:after="60" w:line="270"/>
      </w:pPr>
      <w:r>
        <w:rPr>
          <w:b/>
          <w:bCs/>
        </w:rPr>
        <w:t xml:space="preserve">NAP identique + Schema</w:t>
      </w:r>
      <w:r>
        <w:t xml:space="preserve"> : RoofingContractor/LocalBusiness, NAP strictement cohérent partout.</w:t>
      </w:r>
    </w:p>
    <w:p>
      <w:pPr>
        <w:pStyle w:val="ListParagraph"/>
        <w:numPr>
          <w:ilvl w:val="0"/>
          <w:numId w:val="3"/>
        </w:numPr>
        <w:spacing w:after="60" w:line="270"/>
      </w:pPr>
      <w:r>
        <w:rPr>
          <w:b/>
          <w:bCs/>
        </w:rPr>
        <w:t xml:space="preserve">Maillage</w:t>
      </w:r>
      <w:r>
        <w:t xml:space="preserve"> : lien vers la page pilier démoussage, vers 2-3 communes voisines et vers le devis.</w:t>
      </w:r>
    </w:p>
    <w:p>
      <w:r>
        <w:br w:type="page"/>
      </w:r>
    </w:p>
    <w:p>
      <w:pPr>
        <w:pStyle w:val="Heading1"/>
      </w:pPr>
      <w:r>
        <w:t xml:space="preserve">3. Priorisation : par où commencer (3 vagues)</w:t>
      </w:r>
    </w:p>
    <w:p>
      <w:pPr>
        <w:spacing w:after="140" w:line="276"/>
      </w:pPr>
      <w:r>
        <w:t xml:space="preserve">On attaque dans l'ordre du </w:t>
      </w:r>
      <w:r>
        <w:rPr>
          <w:b/>
          <w:bCs/>
        </w:rPr>
        <w:t xml:space="preserve">retour sur effort</w:t>
      </w:r>
      <w:r>
        <w:t xml:space="preserve">. Vague 1 = communes déjà en page 1 avec des impressions démoussage : le clic est à portée de main.</w:t>
      </w:r>
    </w:p>
    <w:p>
      <w:pPr>
        <w:pStyle w:val="Heading2"/>
      </w:pPr>
      <w:r>
        <w:t xml:space="preserve">Vague 1 — Quick wins (semaines 1 à 4)</w:t>
      </w:r>
    </w:p>
    <w:p>
      <w:pPr>
        <w:spacing w:after="140" w:line="276"/>
      </w:pPr>
      <w:r>
        <w:t xml:space="preserve">Communes où vous êtes déjà très bien positionné : une page dédiée peut transformer les impressions en clics presque immédiatement.</w:t>
      </w:r>
    </w:p>
    <w:tbl>
      <w:tblPr>
        <w:tblW w:type="dxa" w:w="9360"/>
        <w:tblBorders>
          <w:top w:val="single" w:color="D5DDE3" w:sz="4"/>
          <w:left w:val="single" w:color="D5DDE3" w:sz="4"/>
          <w:bottom w:val="single" w:color="D5DDE3" w:sz="4"/>
          <w:right w:val="single" w:color="D5DDE3" w:sz="4"/>
          <w:insideH w:val="single" w:color="D5DDE3" w:sz="4"/>
          <w:insideV w:val="single" w:color="D5DDE3" w:sz="4"/>
        </w:tblBorders>
      </w:tblPr>
      <w:tblGrid>
        <w:gridCol w:w="2400"/>
        <w:gridCol w:w="1500"/>
        <w:gridCol w:w="1560"/>
        <w:gridCol w:w="3900"/>
      </w:tblGrid>
      <w:tr>
        <w:trPr>
          <w:tblHeader/>
        </w:trPr>
        <w:tc>
          <w:tcPr>
            <w:tcW w:type="dxa" w:w="2400"/>
            <w:shd w:fill="244B64" w:val="clear"/>
            <w:tcMar>
              <w:top w:type="dxa" w:w="70"/>
              <w:left w:type="dxa" w:w="110"/>
              <w:bottom w:type="dxa" w:w="70"/>
              <w:right w:type="dxa" w:w="110"/>
            </w:tcMar>
          </w:tcPr>
          <w:p>
            <w:pPr>
              <w:spacing w:after="0" w:line="260"/>
              <w:jc w:val="left"/>
            </w:pPr>
            <w:r>
              <w:rPr>
                <w:b/>
                <w:bCs/>
                <w:color w:val="FFFFFF"/>
                <w:sz w:val="19"/>
                <w:szCs w:val="19"/>
              </w:rPr>
              <w:t xml:space="preserve">Commune</w:t>
            </w:r>
          </w:p>
        </w:tc>
        <w:tc>
          <w:tcPr>
            <w:tcW w:type="dxa" w:w="1500"/>
            <w:shd w:fill="244B64" w:val="clear"/>
            <w:tcMar>
              <w:top w:type="dxa" w:w="70"/>
              <w:left w:type="dxa" w:w="110"/>
              <w:bottom w:type="dxa" w:w="70"/>
              <w:right w:type="dxa" w:w="110"/>
            </w:tcMar>
          </w:tcPr>
          <w:p>
            <w:pPr>
              <w:spacing w:after="0" w:line="260"/>
              <w:jc w:val="left"/>
            </w:pPr>
            <w:r>
              <w:rPr>
                <w:b/>
                <w:bCs/>
                <w:color w:val="FFFFFF"/>
                <w:sz w:val="19"/>
                <w:szCs w:val="19"/>
              </w:rPr>
              <w:t xml:space="preserve">Pos. actuelle</w:t>
            </w:r>
          </w:p>
        </w:tc>
        <w:tc>
          <w:tcPr>
            <w:tcW w:type="dxa" w:w="1560"/>
            <w:shd w:fill="244B64" w:val="clear"/>
            <w:tcMar>
              <w:top w:type="dxa" w:w="70"/>
              <w:left w:type="dxa" w:w="110"/>
              <w:bottom w:type="dxa" w:w="70"/>
              <w:right w:type="dxa" w:w="110"/>
            </w:tcMar>
          </w:tcPr>
          <w:p>
            <w:pPr>
              <w:spacing w:after="0" w:line="260"/>
              <w:jc w:val="left"/>
            </w:pPr>
            <w:r>
              <w:rPr>
                <w:b/>
                <w:bCs/>
                <w:color w:val="FFFFFF"/>
                <w:sz w:val="19"/>
                <w:szCs w:val="19"/>
              </w:rPr>
              <w:t xml:space="preserve">Signal</w:t>
            </w:r>
          </w:p>
        </w:tc>
        <w:tc>
          <w:tcPr>
            <w:tcW w:type="dxa" w:w="3900"/>
            <w:shd w:fill="244B64" w:val="clear"/>
            <w:tcMar>
              <w:top w:type="dxa" w:w="70"/>
              <w:left w:type="dxa" w:w="110"/>
              <w:bottom w:type="dxa" w:w="70"/>
              <w:right w:type="dxa" w:w="110"/>
            </w:tcMar>
          </w:tcPr>
          <w:p>
            <w:pPr>
              <w:spacing w:after="0" w:line="260"/>
              <w:jc w:val="left"/>
            </w:pPr>
            <w:r>
              <w:rPr>
                <w:b/>
                <w:bCs/>
                <w:color w:val="FFFFFF"/>
                <w:sz w:val="19"/>
                <w:szCs w:val="19"/>
              </w:rPr>
              <w:t xml:space="preserve">Angle de la page</w:t>
            </w:r>
          </w:p>
        </w:tc>
      </w:tr>
      <w:tr>
        <w:trPr>
          <w:tblHeader w:val="false"/>
        </w:trPr>
        <w:tc>
          <w:tcPr>
            <w:tcW w:type="dxa" w:w="24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Maintenon</w:t>
            </w:r>
          </w:p>
        </w:tc>
        <w:tc>
          <w:tcPr>
            <w:tcW w:type="dxa" w:w="15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 1–3</w:t>
            </w:r>
          </w:p>
        </w:tc>
        <w:tc>
          <w:tcPr>
            <w:tcW w:type="dxa" w:w="156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démoussage pos. 1 + couvreur pos. 3,3</w:t>
            </w:r>
          </w:p>
        </w:tc>
        <w:tc>
          <w:tcPr>
            <w:tcW w:type="dxa" w:w="39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Page phare démoussage + couvreur</w:t>
            </w:r>
          </w:p>
        </w:tc>
      </w:tr>
      <w:tr>
        <w:trPr>
          <w:tblHeader w:val="false"/>
        </w:trPr>
        <w:tc>
          <w:tcPr>
            <w:tcW w:type="dxa" w:w="240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Épernon</w:t>
            </w:r>
          </w:p>
        </w:tc>
        <w:tc>
          <w:tcPr>
            <w:tcW w:type="dxa" w:w="150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 1,4</w:t>
            </w:r>
          </w:p>
        </w:tc>
        <w:tc>
          <w:tcPr>
            <w:tcW w:type="dxa" w:w="156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couvreur pos. 1,4, démoussage imp.</w:t>
            </w:r>
          </w:p>
        </w:tc>
        <w:tc>
          <w:tcPr>
            <w:tcW w:type="dxa" w:w="390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Démoussage + réputation couvreur</w:t>
            </w:r>
          </w:p>
        </w:tc>
      </w:tr>
      <w:tr>
        <w:trPr>
          <w:tblHeader w:val="false"/>
        </w:trPr>
        <w:tc>
          <w:tcPr>
            <w:tcW w:type="dxa" w:w="24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Villiers-le-Morhier</w:t>
            </w:r>
          </w:p>
        </w:tc>
        <w:tc>
          <w:tcPr>
            <w:tcW w:type="dxa" w:w="15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 7</w:t>
            </w:r>
          </w:p>
        </w:tc>
        <w:tc>
          <w:tcPr>
            <w:tcW w:type="dxa" w:w="156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siège social, démoussage imp.</w:t>
            </w:r>
          </w:p>
        </w:tc>
        <w:tc>
          <w:tcPr>
            <w:tcW w:type="dxa" w:w="39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Page locale la plus riche (siège)</w:t>
            </w:r>
          </w:p>
        </w:tc>
      </w:tr>
      <w:tr>
        <w:trPr>
          <w:tblHeader w:val="false"/>
        </w:trPr>
        <w:tc>
          <w:tcPr>
            <w:tcW w:type="dxa" w:w="240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Bouglainval</w:t>
            </w:r>
          </w:p>
        </w:tc>
        <w:tc>
          <w:tcPr>
            <w:tcW w:type="dxa" w:w="150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 2,4</w:t>
            </w:r>
          </w:p>
        </w:tc>
        <w:tc>
          <w:tcPr>
            <w:tcW w:type="dxa" w:w="156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déjà 1 clic / page existante</w:t>
            </w:r>
          </w:p>
        </w:tc>
        <w:tc>
          <w:tcPr>
            <w:tcW w:type="dxa" w:w="390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Enrichir avec avant/après</w:t>
            </w:r>
          </w:p>
        </w:tc>
      </w:tr>
      <w:tr>
        <w:trPr>
          <w:tblHeader w:val="false"/>
        </w:trPr>
        <w:tc>
          <w:tcPr>
            <w:tcW w:type="dxa" w:w="24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Saint-Piat</w:t>
            </w:r>
          </w:p>
        </w:tc>
        <w:tc>
          <w:tcPr>
            <w:tcW w:type="dxa" w:w="15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 8</w:t>
            </w:r>
          </w:p>
        </w:tc>
        <w:tc>
          <w:tcPr>
            <w:tcW w:type="dxa" w:w="156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démoussage imp. récurrentes</w:t>
            </w:r>
          </w:p>
        </w:tc>
        <w:tc>
          <w:tcPr>
            <w:tcW w:type="dxa" w:w="39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Nouvelle page dédiée</w:t>
            </w:r>
          </w:p>
        </w:tc>
      </w:tr>
    </w:tbl>
    <w:p>
      <w:pPr>
        <w:spacing w:after="80"/>
      </w:pPr>
      <w:r>
        <w:t xml:space="preserve"/>
      </w:r>
    </w:p>
    <w:p>
      <w:pPr>
        <w:pStyle w:val="Heading2"/>
      </w:pPr>
      <w:r>
        <w:t xml:space="preserve">Vague 2 — Récolte des impressions dormantes (semaines 5 à 10)</w:t>
      </w:r>
    </w:p>
    <w:p>
      <w:pPr>
        <w:spacing w:after="140" w:line="276"/>
      </w:pPr>
      <w:r>
        <w:t xml:space="preserve">Communes qui génèrent des impressions démoussage en position 6 à 15 : une page dédiée les fait basculer vers le haut de page 1.</w:t>
      </w:r>
    </w:p>
    <w:tbl>
      <w:tblPr>
        <w:tblW w:type="dxa" w:w="9360"/>
        <w:tblBorders>
          <w:top w:val="single" w:color="D5DDE3" w:sz="4"/>
          <w:left w:val="single" w:color="D5DDE3" w:sz="4"/>
          <w:bottom w:val="single" w:color="D5DDE3" w:sz="4"/>
          <w:right w:val="single" w:color="D5DDE3" w:sz="4"/>
          <w:insideH w:val="single" w:color="D5DDE3" w:sz="4"/>
          <w:insideV w:val="single" w:color="D5DDE3" w:sz="4"/>
        </w:tblBorders>
      </w:tblPr>
      <w:tblGrid>
        <w:gridCol w:w="4680"/>
        <w:gridCol w:w="4680"/>
      </w:tblGrid>
      <w:tr>
        <w:trPr>
          <w:tblHeader/>
        </w:trPr>
        <w:tc>
          <w:tcPr>
            <w:tcW w:type="dxa" w:w="4680"/>
            <w:shd w:fill="244B64" w:val="clear"/>
            <w:tcMar>
              <w:top w:type="dxa" w:w="70"/>
              <w:left w:type="dxa" w:w="110"/>
              <w:bottom w:type="dxa" w:w="70"/>
              <w:right w:type="dxa" w:w="110"/>
            </w:tcMar>
          </w:tcPr>
          <w:p>
            <w:pPr>
              <w:spacing w:after="0" w:line="260"/>
              <w:jc w:val="left"/>
            </w:pPr>
            <w:r>
              <w:rPr>
                <w:b/>
                <w:bCs/>
                <w:color w:val="FFFFFF"/>
                <w:sz w:val="19"/>
                <w:szCs w:val="19"/>
              </w:rPr>
              <w:t xml:space="preserve">Communes</w:t>
            </w:r>
          </w:p>
        </w:tc>
        <w:tc>
          <w:tcPr>
            <w:tcW w:type="dxa" w:w="4680"/>
            <w:shd w:fill="244B64" w:val="clear"/>
            <w:tcMar>
              <w:top w:type="dxa" w:w="70"/>
              <w:left w:type="dxa" w:w="110"/>
              <w:bottom w:type="dxa" w:w="70"/>
              <w:right w:type="dxa" w:w="110"/>
            </w:tcMar>
          </w:tcPr>
          <w:p>
            <w:pPr>
              <w:spacing w:after="0" w:line="260"/>
              <w:jc w:val="left"/>
            </w:pPr>
            <w:r>
              <w:rPr>
                <w:b/>
                <w:bCs/>
                <w:color w:val="FFFFFF"/>
                <w:sz w:val="19"/>
                <w:szCs w:val="19"/>
              </w:rPr>
              <w:t xml:space="preserve">Pourquoi maintenant</w:t>
            </w:r>
          </w:p>
        </w:tc>
      </w:tr>
      <w:tr>
        <w:trPr>
          <w:tblHeader w:val="false"/>
        </w:trPr>
        <w:tc>
          <w:tcPr>
            <w:tcW w:type="dxa" w:w="468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Houx, Soulaires, Gasville-Oisème</w:t>
            </w:r>
          </w:p>
        </w:tc>
        <w:tc>
          <w:tcPr>
            <w:tcW w:type="dxa" w:w="468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Impressions démoussage régulières, aucune page dédiée</w:t>
            </w:r>
          </w:p>
        </w:tc>
      </w:tr>
      <w:tr>
        <w:trPr>
          <w:tblHeader w:val="false"/>
        </w:trPr>
        <w:tc>
          <w:tcPr>
            <w:tcW w:type="dxa" w:w="468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Bailleau-Armenonville, Droue-sur-Drouette</w:t>
            </w:r>
          </w:p>
        </w:tc>
        <w:tc>
          <w:tcPr>
            <w:tcW w:type="dxa" w:w="468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Positions 14–15 : proches du décollage avec une page</w:t>
            </w:r>
          </w:p>
        </w:tc>
      </w:tr>
      <w:tr>
        <w:trPr>
          <w:tblHeader w:val="false"/>
        </w:trPr>
        <w:tc>
          <w:tcPr>
            <w:tcW w:type="dxa" w:w="468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Lormaye, Chaudon, Saint-Prest, Jouy</w:t>
            </w:r>
          </w:p>
        </w:tc>
        <w:tc>
          <w:tcPr>
            <w:tcW w:type="dxa" w:w="468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Impressions ponctuelles à consolider</w:t>
            </w:r>
          </w:p>
        </w:tc>
      </w:tr>
    </w:tbl>
    <w:p>
      <w:pPr>
        <w:spacing w:after="80"/>
      </w:pPr>
      <w:r>
        <w:t xml:space="preserve"/>
      </w:r>
    </w:p>
    <w:p>
      <w:pPr>
        <w:pStyle w:val="Heading2"/>
      </w:pPr>
      <w:r>
        <w:t xml:space="preserve">Vague 3 — Conquête &amp; volume (semaines 11 et +)</w:t>
      </w:r>
    </w:p>
    <w:p>
      <w:pPr>
        <w:spacing w:after="140" w:line="276"/>
      </w:pPr>
      <w:r>
        <w:t xml:space="preserve">Une fois le cocon démoussage solide, on vise les villes à fort volume et l'expansion maîtrisée vers le 78.</w:t>
      </w:r>
    </w:p>
    <w:tbl>
      <w:tblPr>
        <w:tblW w:type="dxa" w:w="9360"/>
        <w:tblBorders>
          <w:top w:val="single" w:color="D5DDE3" w:sz="4"/>
          <w:left w:val="single" w:color="D5DDE3" w:sz="4"/>
          <w:bottom w:val="single" w:color="D5DDE3" w:sz="4"/>
          <w:right w:val="single" w:color="D5DDE3" w:sz="4"/>
          <w:insideH w:val="single" w:color="D5DDE3" w:sz="4"/>
          <w:insideV w:val="single" w:color="D5DDE3" w:sz="4"/>
        </w:tblBorders>
      </w:tblPr>
      <w:tblGrid>
        <w:gridCol w:w="4680"/>
        <w:gridCol w:w="4680"/>
      </w:tblGrid>
      <w:tr>
        <w:trPr>
          <w:tblHeader/>
        </w:trPr>
        <w:tc>
          <w:tcPr>
            <w:tcW w:type="dxa" w:w="4680"/>
            <w:shd w:fill="244B64" w:val="clear"/>
            <w:tcMar>
              <w:top w:type="dxa" w:w="70"/>
              <w:left w:type="dxa" w:w="110"/>
              <w:bottom w:type="dxa" w:w="70"/>
              <w:right w:type="dxa" w:w="110"/>
            </w:tcMar>
          </w:tcPr>
          <w:p>
            <w:pPr>
              <w:spacing w:after="0" w:line="260"/>
              <w:jc w:val="left"/>
            </w:pPr>
            <w:r>
              <w:rPr>
                <w:b/>
                <w:bCs/>
                <w:color w:val="FFFFFF"/>
                <w:sz w:val="19"/>
                <w:szCs w:val="19"/>
              </w:rPr>
              <w:t xml:space="preserve">Cibles</w:t>
            </w:r>
          </w:p>
        </w:tc>
        <w:tc>
          <w:tcPr>
            <w:tcW w:type="dxa" w:w="4680"/>
            <w:shd w:fill="244B64" w:val="clear"/>
            <w:tcMar>
              <w:top w:type="dxa" w:w="70"/>
              <w:left w:type="dxa" w:w="110"/>
              <w:bottom w:type="dxa" w:w="70"/>
              <w:right w:type="dxa" w:w="110"/>
            </w:tcMar>
          </w:tcPr>
          <w:p>
            <w:pPr>
              <w:spacing w:after="0" w:line="260"/>
              <w:jc w:val="left"/>
            </w:pPr>
            <w:r>
              <w:rPr>
                <w:b/>
                <w:bCs/>
                <w:color w:val="FFFFFF"/>
                <w:sz w:val="19"/>
                <w:szCs w:val="19"/>
              </w:rPr>
              <w:t xml:space="preserve">Enjeu</w:t>
            </w:r>
          </w:p>
        </w:tc>
      </w:tr>
      <w:tr>
        <w:trPr>
          <w:tblHeader w:val="false"/>
        </w:trPr>
        <w:tc>
          <w:tcPr>
            <w:tcW w:type="dxa" w:w="468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Chartres, Dreux</w:t>
            </w:r>
          </w:p>
        </w:tc>
        <w:tc>
          <w:tcPr>
            <w:tcW w:type="dxa" w:w="468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Grosses villes = concurrence + trafic. Pages plus étoffées</w:t>
            </w:r>
          </w:p>
        </w:tc>
      </w:tr>
      <w:tr>
        <w:trPr>
          <w:tblHeader w:val="false"/>
        </w:trPr>
        <w:tc>
          <w:tcPr>
            <w:tcW w:type="dxa" w:w="468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Nogent-le-Roi, Gallardon, Hanches, Pierres</w:t>
            </w:r>
          </w:p>
        </w:tc>
        <w:tc>
          <w:tcPr>
            <w:tcW w:type="dxa" w:w="468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Compléter la couverture du cœur de zone</w:t>
            </w:r>
          </w:p>
        </w:tc>
      </w:tr>
      <w:tr>
        <w:trPr>
          <w:tblHeader w:val="false"/>
        </w:trPr>
        <w:tc>
          <w:tcPr>
            <w:tcW w:type="dxa" w:w="468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Rambouillet, Houdan (78)</w:t>
            </w:r>
          </w:p>
        </w:tc>
        <w:tc>
          <w:tcPr>
            <w:tcW w:type="dxa" w:w="468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Expansion via pages ville UNIQUEMENT (pas de 2e fiche Google)</w:t>
            </w:r>
          </w:p>
        </w:tc>
      </w:tr>
    </w:tbl>
    <w:p>
      <w:r>
        <w:br w:type="page"/>
      </w:r>
    </w:p>
    <w:p>
      <w:pPr>
        <w:pStyle w:val="Heading1"/>
      </w:pPr>
      <w:r>
        <w:t xml:space="preserve">4. Exploiter les 363 photos avant/après : votre arme</w:t>
      </w:r>
    </w:p>
    <w:p>
      <w:pPr>
        <w:spacing w:after="140" w:line="276"/>
      </w:pPr>
      <w:r>
        <w:t xml:space="preserve">C'est votre plus gros avantage concurrentiel et il est aujourd'hui à 0 %. Le démoussage est </w:t>
      </w:r>
      <w:r>
        <w:rPr>
          <w:i/>
          <w:iCs/>
        </w:rPr>
        <w:t xml:space="preserve">le</w:t>
      </w:r>
      <w:r>
        <w:t xml:space="preserve"> service qui se vend à l'image : le contraste avant/après est spectaculaire et immédiatement compréhensible.</w:t>
      </w:r>
    </w:p>
    <w:p>
      <w:pPr>
        <w:pStyle w:val="Heading2"/>
      </w:pPr>
      <w:r>
        <w:t xml:space="preserve">Le système à mettre en place</w:t>
      </w:r>
    </w:p>
    <w:p>
      <w:pPr>
        <w:pStyle w:val="ListParagraph"/>
        <w:numPr>
          <w:ilvl w:val="0"/>
          <w:numId w:val="4"/>
        </w:numPr>
        <w:spacing w:after="60" w:line="270"/>
      </w:pPr>
      <w:r>
        <w:rPr>
          <w:b/>
          <w:bCs/>
        </w:rPr>
        <w:t xml:space="preserve">Trier par chantier et par commune</w:t>
      </w:r>
      <w:r>
        <w:t xml:space="preserve"> : regrouper les photos d'un même toit (avant → pendant → après) et taguer la commune. C'est ce qui permet de placer une preuve locale sur chaque page ville.</w:t>
      </w:r>
    </w:p>
    <w:p>
      <w:pPr>
        <w:pStyle w:val="ListParagraph"/>
        <w:numPr>
          <w:ilvl w:val="0"/>
          <w:numId w:val="4"/>
        </w:numPr>
        <w:spacing w:after="60" w:line="270"/>
      </w:pPr>
      <w:r>
        <w:rPr>
          <w:b/>
          <w:bCs/>
        </w:rPr>
        <w:t xml:space="preserve">Créer des paires avant/après</w:t>
      </w:r>
      <w:r>
        <w:t xml:space="preserve"> : viser 15 à 25 duos nets et bien cadrés. Inutile de tout publier — la qualité prime.</w:t>
      </w:r>
    </w:p>
    <w:p>
      <w:pPr>
        <w:pStyle w:val="ListParagraph"/>
        <w:numPr>
          <w:ilvl w:val="0"/>
          <w:numId w:val="4"/>
        </w:numPr>
        <w:spacing w:after="60" w:line="270"/>
      </w:pPr>
      <w:r>
        <w:rPr>
          <w:b/>
          <w:bCs/>
        </w:rPr>
        <w:t xml:space="preserve">Nommer les fichiers pour le SEO</w:t>
      </w:r>
      <w:r>
        <w:t xml:space="preserve"> : demoussage-toiture-maintenon-avant.webp / -apres.webp, avec un attribut alt descriptif (« toiture démoussée à Maintenon »). Google Images est une source de trafic réelle sur ce sujet.</w:t>
      </w:r>
    </w:p>
    <w:p>
      <w:pPr>
        <w:pStyle w:val="ListParagraph"/>
        <w:numPr>
          <w:ilvl w:val="0"/>
          <w:numId w:val="4"/>
        </w:numPr>
        <w:spacing w:after="60" w:line="270"/>
      </w:pPr>
      <w:r>
        <w:rPr>
          <w:b/>
          <w:bCs/>
        </w:rPr>
        <w:t xml:space="preserve">Bloc « Nos chantiers » sur chaque page ville</w:t>
      </w:r>
      <w:r>
        <w:t xml:space="preserve"> : 2 à 4 avant/après de la zone, avec une légende d'une phrase (type de toit, problème résolu).</w:t>
      </w:r>
    </w:p>
    <w:p>
      <w:pPr>
        <w:pStyle w:val="ListParagraph"/>
        <w:numPr>
          <w:ilvl w:val="0"/>
          <w:numId w:val="4"/>
        </w:numPr>
        <w:spacing w:after="60" w:line="270"/>
      </w:pPr>
      <w:r>
        <w:rPr>
          <w:b/>
          <w:bCs/>
        </w:rPr>
        <w:t xml:space="preserve">Alimenter la fiche Google + les posts</w:t>
      </w:r>
      <w:r>
        <w:t xml:space="preserve"> : le plan d'action note que vos photos datent de ~5 ans. Publier 1 avant/après par semaine en post Google est le signal de fraîcheur le plus facile à envoyer.</w:t>
      </w:r>
    </w:p>
    <w:p>
      <w:pPr>
        <w:spacing w:after="80"/>
      </w:pPr>
      <w:r>
        <w:t xml:space="preserve"/>
      </w:r>
    </w:p>
    <w:p>
      <w:pPr>
        <w:spacing w:after="140" w:line="276"/>
      </w:pPr>
      <w:r>
        <w:t xml:space="preserve">Bonus notoriété : une </w:t>
      </w:r>
      <w:r>
        <w:rPr>
          <w:b/>
          <w:bCs/>
        </w:rPr>
        <w:t xml:space="preserve">galerie « Réalisations »</w:t>
      </w:r>
      <w:r>
        <w:t xml:space="preserve"> sur le site (filtrable par service/commune) devient une page à part entière qui attire des liens et des recherches de marque, et nourrit toutes les pages ville en preuves.</w:t>
      </w:r>
    </w:p>
    <w:p>
      <w:pPr>
        <w:pStyle w:val="Heading1"/>
      </w:pPr>
      <w:r>
        <w:t xml:space="preserve">5. Balises SEO : capter le clic (règle anti-triplette)</w:t>
      </w:r>
    </w:p>
    <w:p>
      <w:pPr>
        <w:spacing w:after="140" w:line="276"/>
      </w:pPr>
      <w:r>
        <w:t xml:space="preserve">Le CTR à 0 % se corrige d'abord dans le SERP. Règle de votre projet : </w:t>
      </w:r>
      <w:r>
        <w:rPr>
          <w:b/>
          <w:bCs/>
        </w:rPr>
        <w:t xml:space="preserve">ne pas répéter le mot-clé à l'identique dans le title, le H1 et la meta</w:t>
      </w:r>
      <w:r>
        <w:t xml:space="preserve"> — on décline les angles. Modèle par page ville :</w:t>
      </w:r>
    </w:p>
    <w:tbl>
      <w:tblPr>
        <w:tblW w:type="dxa" w:w="9360"/>
        <w:tblBorders>
          <w:top w:val="single" w:color="D5DDE3" w:sz="4"/>
          <w:left w:val="single" w:color="D5DDE3" w:sz="4"/>
          <w:bottom w:val="single" w:color="D5DDE3" w:sz="4"/>
          <w:right w:val="single" w:color="D5DDE3" w:sz="4"/>
          <w:insideH w:val="single" w:color="D5DDE3" w:sz="4"/>
          <w:insideV w:val="single" w:color="D5DDE3" w:sz="4"/>
        </w:tblBorders>
      </w:tblPr>
      <w:tblGrid>
        <w:gridCol w:w="1500"/>
        <w:gridCol w:w="7860"/>
      </w:tblGrid>
      <w:tr>
        <w:trPr>
          <w:tblHeader/>
        </w:trPr>
        <w:tc>
          <w:tcPr>
            <w:tcW w:type="dxa" w:w="1500"/>
            <w:shd w:fill="244B64" w:val="clear"/>
            <w:tcMar>
              <w:top w:type="dxa" w:w="70"/>
              <w:left w:type="dxa" w:w="110"/>
              <w:bottom w:type="dxa" w:w="70"/>
              <w:right w:type="dxa" w:w="110"/>
            </w:tcMar>
          </w:tcPr>
          <w:p>
            <w:pPr>
              <w:spacing w:after="0" w:line="260"/>
              <w:jc w:val="left"/>
            </w:pPr>
            <w:r>
              <w:rPr>
                <w:b/>
                <w:bCs/>
                <w:color w:val="FFFFFF"/>
                <w:sz w:val="19"/>
                <w:szCs w:val="19"/>
              </w:rPr>
              <w:t xml:space="preserve">Balise</w:t>
            </w:r>
          </w:p>
        </w:tc>
        <w:tc>
          <w:tcPr>
            <w:tcW w:type="dxa" w:w="7860"/>
            <w:shd w:fill="244B64" w:val="clear"/>
            <w:tcMar>
              <w:top w:type="dxa" w:w="70"/>
              <w:left w:type="dxa" w:w="110"/>
              <w:bottom w:type="dxa" w:w="70"/>
              <w:right w:type="dxa" w:w="110"/>
            </w:tcMar>
          </w:tcPr>
          <w:p>
            <w:pPr>
              <w:spacing w:after="0" w:line="260"/>
              <w:jc w:val="left"/>
            </w:pPr>
            <w:r>
              <w:rPr>
                <w:b/>
                <w:bCs/>
                <w:color w:val="FFFFFF"/>
                <w:sz w:val="19"/>
                <w:szCs w:val="19"/>
              </w:rPr>
              <w:t xml:space="preserve">Modèle (exemple : Maintenon)</w:t>
            </w:r>
          </w:p>
        </w:tc>
      </w:tr>
      <w:tr>
        <w:trPr>
          <w:tblHeader w:val="false"/>
        </w:trPr>
        <w:tc>
          <w:tcPr>
            <w:tcW w:type="dxa" w:w="15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Title</w:t>
            </w:r>
          </w:p>
        </w:tc>
        <w:tc>
          <w:tcPr>
            <w:tcW w:type="dxa" w:w="786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Démoussage de toiture à Maintenon (28) | Renaud Rénov</w:t>
            </w:r>
          </w:p>
        </w:tc>
      </w:tr>
      <w:tr>
        <w:trPr>
          <w:tblHeader w:val="false"/>
        </w:trPr>
        <w:tc>
          <w:tcPr>
            <w:tcW w:type="dxa" w:w="150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H1</w:t>
            </w:r>
          </w:p>
        </w:tc>
        <w:tc>
          <w:tcPr>
            <w:tcW w:type="dxa" w:w="786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Nettoyage et traitement de toiture à Maintenon</w:t>
            </w:r>
          </w:p>
        </w:tc>
      </w:tr>
      <w:tr>
        <w:trPr>
          <w:tblHeader w:val="false"/>
        </w:trPr>
        <w:tc>
          <w:tcPr>
            <w:tcW w:type="dxa" w:w="15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Meta desc.</w:t>
            </w:r>
          </w:p>
        </w:tc>
        <w:tc>
          <w:tcPr>
            <w:tcW w:type="dxa" w:w="786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Mousses et lichens sur votre toit à Maintenon ? Artisan couvreur père &amp; fils, avant/après réels, devis gratuit. Intervention rapide dans le 28.</w:t>
            </w:r>
          </w:p>
        </w:tc>
      </w:tr>
    </w:tbl>
    <w:p>
      <w:pPr>
        <w:spacing w:after="80"/>
      </w:pPr>
      <w:r>
        <w:t xml:space="preserve"/>
      </w:r>
    </w:p>
    <w:p>
      <w:pPr>
        <w:spacing w:after="140" w:line="276"/>
      </w:pPr>
      <w:r>
        <w:t xml:space="preserve">Chaque balise attaque un angle différent (service+ville / bénéfice / preuve+action). La meta doit contenir un </w:t>
      </w:r>
      <w:r>
        <w:rPr>
          <w:b/>
          <w:bCs/>
        </w:rPr>
        <w:t xml:space="preserve">déclencheur de clic</w:t>
      </w:r>
      <w:r>
        <w:t xml:space="preserve"> : « avant/après réels », « devis gratuit », « père &amp; fils », « 5/5 sur Google ».</w:t>
      </w:r>
    </w:p>
    <w:p>
      <w:r>
        <w:br w:type="page"/>
      </w:r>
    </w:p>
    <w:p>
      <w:pPr>
        <w:pStyle w:val="Heading1"/>
      </w:pPr>
      <w:r>
        <w:t xml:space="preserve">6. Calendrier éditorial 90 jours</w:t>
      </w:r>
    </w:p>
    <w:tbl>
      <w:tblPr>
        <w:tblW w:type="dxa" w:w="9360"/>
        <w:tblBorders>
          <w:top w:val="single" w:color="D5DDE3" w:sz="4"/>
          <w:left w:val="single" w:color="D5DDE3" w:sz="4"/>
          <w:bottom w:val="single" w:color="D5DDE3" w:sz="4"/>
          <w:right w:val="single" w:color="D5DDE3" w:sz="4"/>
          <w:insideH w:val="single" w:color="D5DDE3" w:sz="4"/>
          <w:insideV w:val="single" w:color="D5DDE3" w:sz="4"/>
        </w:tblBorders>
      </w:tblPr>
      <w:tblGrid>
        <w:gridCol w:w="1500"/>
        <w:gridCol w:w="3930"/>
        <w:gridCol w:w="3930"/>
      </w:tblGrid>
      <w:tr>
        <w:trPr>
          <w:tblHeader/>
        </w:trPr>
        <w:tc>
          <w:tcPr>
            <w:tcW w:type="dxa" w:w="1500"/>
            <w:shd w:fill="244B64" w:val="clear"/>
            <w:tcMar>
              <w:top w:type="dxa" w:w="70"/>
              <w:left w:type="dxa" w:w="110"/>
              <w:bottom w:type="dxa" w:w="70"/>
              <w:right w:type="dxa" w:w="110"/>
            </w:tcMar>
          </w:tcPr>
          <w:p>
            <w:pPr>
              <w:spacing w:after="0" w:line="260"/>
              <w:jc w:val="left"/>
            </w:pPr>
            <w:r>
              <w:rPr>
                <w:b/>
                <w:bCs/>
                <w:color w:val="FFFFFF"/>
                <w:sz w:val="19"/>
                <w:szCs w:val="19"/>
              </w:rPr>
              <w:t xml:space="preserve">Période</w:t>
            </w:r>
          </w:p>
        </w:tc>
        <w:tc>
          <w:tcPr>
            <w:tcW w:type="dxa" w:w="3930"/>
            <w:shd w:fill="244B64" w:val="clear"/>
            <w:tcMar>
              <w:top w:type="dxa" w:w="70"/>
              <w:left w:type="dxa" w:w="110"/>
              <w:bottom w:type="dxa" w:w="70"/>
              <w:right w:type="dxa" w:w="110"/>
            </w:tcMar>
          </w:tcPr>
          <w:p>
            <w:pPr>
              <w:spacing w:after="0" w:line="260"/>
              <w:jc w:val="left"/>
            </w:pPr>
            <w:r>
              <w:rPr>
                <w:b/>
                <w:bCs/>
                <w:color w:val="FFFFFF"/>
                <w:sz w:val="19"/>
                <w:szCs w:val="19"/>
              </w:rPr>
              <w:t xml:space="preserve">Contenu à produire</w:t>
            </w:r>
          </w:p>
        </w:tc>
        <w:tc>
          <w:tcPr>
            <w:tcW w:type="dxa" w:w="3930"/>
            <w:shd w:fill="244B64" w:val="clear"/>
            <w:tcMar>
              <w:top w:type="dxa" w:w="70"/>
              <w:left w:type="dxa" w:w="110"/>
              <w:bottom w:type="dxa" w:w="70"/>
              <w:right w:type="dxa" w:w="110"/>
            </w:tcMar>
          </w:tcPr>
          <w:p>
            <w:pPr>
              <w:spacing w:after="0" w:line="260"/>
              <w:jc w:val="left"/>
            </w:pPr>
            <w:r>
              <w:rPr>
                <w:b/>
                <w:bCs/>
                <w:color w:val="FFFFFF"/>
                <w:sz w:val="19"/>
                <w:szCs w:val="19"/>
              </w:rPr>
              <w:t xml:space="preserve">Objectif</w:t>
            </w:r>
          </w:p>
        </w:tc>
      </w:tr>
      <w:tr>
        <w:trPr>
          <w:tblHeader w:val="false"/>
        </w:trPr>
        <w:tc>
          <w:tcPr>
            <w:tcW w:type="dxa" w:w="15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Sem. 1–2</w:t>
            </w:r>
          </w:p>
        </w:tc>
        <w:tc>
          <w:tcPr>
            <w:tcW w:type="dxa" w:w="393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Enrichir la page pilier démoussage + trier/paires de photos par commune</w:t>
            </w:r>
          </w:p>
        </w:tc>
        <w:tc>
          <w:tcPr>
            <w:tcW w:type="dxa" w:w="393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Poser les fondations + la preuve</w:t>
            </w:r>
          </w:p>
        </w:tc>
      </w:tr>
      <w:tr>
        <w:trPr>
          <w:tblHeader w:val="false"/>
        </w:trPr>
        <w:tc>
          <w:tcPr>
            <w:tcW w:type="dxa" w:w="150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Sem. 3–4</w:t>
            </w:r>
          </w:p>
        </w:tc>
        <w:tc>
          <w:tcPr>
            <w:tcW w:type="dxa" w:w="393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5 pages Vague 1 (Maintenon, Épernon, Villiers, Bouglainval, Saint-Piat) avec avant/après</w:t>
            </w:r>
          </w:p>
        </w:tc>
        <w:tc>
          <w:tcPr>
            <w:tcW w:type="dxa" w:w="393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Convertir les impressions en clics</w:t>
            </w:r>
          </w:p>
        </w:tc>
      </w:tr>
      <w:tr>
        <w:trPr>
          <w:tblHeader w:val="false"/>
        </w:trPr>
        <w:tc>
          <w:tcPr>
            <w:tcW w:type="dxa" w:w="15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Sem. 5–7</w:t>
            </w:r>
          </w:p>
        </w:tc>
        <w:tc>
          <w:tcPr>
            <w:tcW w:type="dxa" w:w="393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4–5 pages Vague 2 + 1 avant/après en post Google / semaine</w:t>
            </w:r>
          </w:p>
        </w:tc>
        <w:tc>
          <w:tcPr>
            <w:tcW w:type="dxa" w:w="393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Récolter les positions dormantes</w:t>
            </w:r>
          </w:p>
        </w:tc>
      </w:tr>
      <w:tr>
        <w:trPr>
          <w:tblHeader w:val="false"/>
        </w:trPr>
        <w:tc>
          <w:tcPr>
            <w:tcW w:type="dxa" w:w="150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Sem. 8–10</w:t>
            </w:r>
          </w:p>
        </w:tc>
        <w:tc>
          <w:tcPr>
            <w:tcW w:type="dxa" w:w="393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Reste Vague 2 + galerie « Réalisations » filtrable</w:t>
            </w:r>
          </w:p>
        </w:tc>
        <w:tc>
          <w:tcPr>
            <w:tcW w:type="dxa" w:w="393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Profondeur + notoriété</w:t>
            </w:r>
          </w:p>
        </w:tc>
      </w:tr>
      <w:tr>
        <w:trPr>
          <w:tblHeader w:val="false"/>
        </w:trPr>
        <w:tc>
          <w:tcPr>
            <w:tcW w:type="dxa" w:w="15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Sem. 11–13</w:t>
            </w:r>
          </w:p>
        </w:tc>
        <w:tc>
          <w:tcPr>
            <w:tcW w:type="dxa" w:w="393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Chartres, Dreux, Nogent, Gallardon + 1re page 78 (Rambouillet)</w:t>
            </w:r>
          </w:p>
        </w:tc>
        <w:tc>
          <w:tcPr>
            <w:tcW w:type="dxa" w:w="393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Volume + expansion maîtrisée</w:t>
            </w:r>
          </w:p>
        </w:tc>
      </w:tr>
    </w:tbl>
    <w:p>
      <w:pPr>
        <w:spacing w:after="80"/>
      </w:pPr>
      <w:r>
        <w:t xml:space="preserve"/>
      </w:r>
    </w:p>
    <w:p>
      <w:pPr>
        <w:spacing w:after="140" w:line="276"/>
      </w:pPr>
      <w:r>
        <w:t xml:space="preserve">Rythme cible : </w:t>
      </w:r>
      <w:r>
        <w:rPr>
          <w:b/>
          <w:bCs/>
        </w:rPr>
        <w:t xml:space="preserve">2 pages ville par semaine</w:t>
      </w:r>
      <w:r>
        <w:t xml:space="preserve">, chacune illustrée d'avant/après de la zone. Cadence tenable pour une entreprise familiale, et suffisante pour envoyer un signal de fraîcheur constant.</w:t>
      </w:r>
    </w:p>
    <w:p>
      <w:pPr>
        <w:pStyle w:val="Heading1"/>
      </w:pPr>
      <w:r>
        <w:t xml:space="preserve">7. Indicateurs de suivi (mensuel)</w:t>
      </w:r>
    </w:p>
    <w:tbl>
      <w:tblPr>
        <w:tblW w:type="dxa" w:w="9360"/>
        <w:tblBorders>
          <w:top w:val="single" w:color="D5DDE3" w:sz="4"/>
          <w:left w:val="single" w:color="D5DDE3" w:sz="4"/>
          <w:bottom w:val="single" w:color="D5DDE3" w:sz="4"/>
          <w:right w:val="single" w:color="D5DDE3" w:sz="4"/>
          <w:insideH w:val="single" w:color="D5DDE3" w:sz="4"/>
          <w:insideV w:val="single" w:color="D5DDE3" w:sz="4"/>
        </w:tblBorders>
      </w:tblPr>
      <w:tblGrid>
        <w:gridCol w:w="3800"/>
        <w:gridCol w:w="2780"/>
        <w:gridCol w:w="2780"/>
      </w:tblGrid>
      <w:tr>
        <w:trPr>
          <w:tblHeader/>
        </w:trPr>
        <w:tc>
          <w:tcPr>
            <w:tcW w:type="dxa" w:w="3800"/>
            <w:shd w:fill="244B64" w:val="clear"/>
            <w:tcMar>
              <w:top w:type="dxa" w:w="70"/>
              <w:left w:type="dxa" w:w="110"/>
              <w:bottom w:type="dxa" w:w="70"/>
              <w:right w:type="dxa" w:w="110"/>
            </w:tcMar>
          </w:tcPr>
          <w:p>
            <w:pPr>
              <w:spacing w:after="0" w:line="260"/>
              <w:jc w:val="left"/>
            </w:pPr>
            <w:r>
              <w:rPr>
                <w:b/>
                <w:bCs/>
                <w:color w:val="FFFFFF"/>
                <w:sz w:val="19"/>
                <w:szCs w:val="19"/>
              </w:rPr>
              <w:t xml:space="preserve">Indicateur</w:t>
            </w:r>
          </w:p>
        </w:tc>
        <w:tc>
          <w:tcPr>
            <w:tcW w:type="dxa" w:w="2780"/>
            <w:shd w:fill="244B64" w:val="clear"/>
            <w:tcMar>
              <w:top w:type="dxa" w:w="70"/>
              <w:left w:type="dxa" w:w="110"/>
              <w:bottom w:type="dxa" w:w="70"/>
              <w:right w:type="dxa" w:w="110"/>
            </w:tcMar>
          </w:tcPr>
          <w:p>
            <w:pPr>
              <w:spacing w:after="0" w:line="260"/>
              <w:jc w:val="left"/>
            </w:pPr>
            <w:r>
              <w:rPr>
                <w:b/>
                <w:bCs/>
                <w:color w:val="FFFFFF"/>
                <w:sz w:val="19"/>
                <w:szCs w:val="19"/>
              </w:rPr>
              <w:t xml:space="preserve">Aujourd'hui</w:t>
            </w:r>
          </w:p>
        </w:tc>
        <w:tc>
          <w:tcPr>
            <w:tcW w:type="dxa" w:w="2780"/>
            <w:shd w:fill="244B64" w:val="clear"/>
            <w:tcMar>
              <w:top w:type="dxa" w:w="70"/>
              <w:left w:type="dxa" w:w="110"/>
              <w:bottom w:type="dxa" w:w="70"/>
              <w:right w:type="dxa" w:w="110"/>
            </w:tcMar>
          </w:tcPr>
          <w:p>
            <w:pPr>
              <w:spacing w:after="0" w:line="260"/>
              <w:jc w:val="left"/>
            </w:pPr>
            <w:r>
              <w:rPr>
                <w:b/>
                <w:bCs/>
                <w:color w:val="FFFFFF"/>
                <w:sz w:val="19"/>
                <w:szCs w:val="19"/>
              </w:rPr>
              <w:t xml:space="preserve">Cible à 90 jours</w:t>
            </w:r>
          </w:p>
        </w:tc>
      </w:tr>
      <w:tr>
        <w:trPr>
          <w:tblHeader w:val="false"/>
        </w:trPr>
        <w:tc>
          <w:tcPr>
            <w:tcW w:type="dxa" w:w="38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Clics organiques / mois</w:t>
            </w:r>
          </w:p>
        </w:tc>
        <w:tc>
          <w:tcPr>
            <w:tcW w:type="dxa" w:w="278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 12 (sur 3 mois)</w:t>
            </w:r>
          </w:p>
        </w:tc>
        <w:tc>
          <w:tcPr>
            <w:tcW w:type="dxa" w:w="278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40–60 / mois</w:t>
            </w:r>
          </w:p>
        </w:tc>
      </w:tr>
      <w:tr>
        <w:trPr>
          <w:tblHeader w:val="false"/>
        </w:trPr>
        <w:tc>
          <w:tcPr>
            <w:tcW w:type="dxa" w:w="380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CTR moyen</w:t>
            </w:r>
          </w:p>
        </w:tc>
        <w:tc>
          <w:tcPr>
            <w:tcW w:type="dxa" w:w="278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 5,5 %</w:t>
            </w:r>
          </w:p>
        </w:tc>
        <w:tc>
          <w:tcPr>
            <w:tcW w:type="dxa" w:w="278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&gt; 8 %</w:t>
            </w:r>
          </w:p>
        </w:tc>
      </w:tr>
      <w:tr>
        <w:trPr>
          <w:tblHeader w:val="false"/>
        </w:trPr>
        <w:tc>
          <w:tcPr>
            <w:tcW w:type="dxa" w:w="38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CTR mobile</w:t>
            </w:r>
          </w:p>
        </w:tc>
        <w:tc>
          <w:tcPr>
            <w:tcW w:type="dxa" w:w="278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1,8 %</w:t>
            </w:r>
          </w:p>
        </w:tc>
        <w:tc>
          <w:tcPr>
            <w:tcW w:type="dxa" w:w="278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&gt; 5 %</w:t>
            </w:r>
          </w:p>
        </w:tc>
      </w:tr>
      <w:tr>
        <w:trPr>
          <w:tblHeader w:val="false"/>
        </w:trPr>
        <w:tc>
          <w:tcPr>
            <w:tcW w:type="dxa" w:w="380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Requêtes démoussage en top 3</w:t>
            </w:r>
          </w:p>
        </w:tc>
        <w:tc>
          <w:tcPr>
            <w:tcW w:type="dxa" w:w="278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quelques-unes</w:t>
            </w:r>
          </w:p>
        </w:tc>
        <w:tc>
          <w:tcPr>
            <w:tcW w:type="dxa" w:w="278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10+ communes en top 3</w:t>
            </w:r>
          </w:p>
        </w:tc>
      </w:tr>
      <w:tr>
        <w:trPr>
          <w:tblHeader w:val="false"/>
        </w:trPr>
        <w:tc>
          <w:tcPr>
            <w:tcW w:type="dxa" w:w="380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Pages ville publiées</w:t>
            </w:r>
          </w:p>
        </w:tc>
        <w:tc>
          <w:tcPr>
            <w:tcW w:type="dxa" w:w="278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 3–4</w:t>
            </w:r>
          </w:p>
        </w:tc>
        <w:tc>
          <w:tcPr>
            <w:tcW w:type="dxa" w:w="2780"/>
            <w:shd w:fill="FFFFFF" w:val="clear"/>
            <w:tcMar>
              <w:top w:type="dxa" w:w="70"/>
              <w:left w:type="dxa" w:w="110"/>
              <w:bottom w:type="dxa" w:w="70"/>
              <w:right w:type="dxa" w:w="110"/>
            </w:tcMar>
          </w:tcPr>
          <w:p>
            <w:pPr>
              <w:spacing w:after="0" w:line="260"/>
              <w:jc w:val="left"/>
            </w:pPr>
            <w:r>
              <w:rPr>
                <w:b w:val="false"/>
                <w:bCs w:val="false"/>
                <w:color w:val="222222"/>
                <w:sz w:val="19"/>
                <w:szCs w:val="19"/>
              </w:rPr>
              <w:t xml:space="preserve">15+</w:t>
            </w:r>
          </w:p>
        </w:tc>
      </w:tr>
      <w:tr>
        <w:trPr>
          <w:tblHeader w:val="false"/>
        </w:trPr>
        <w:tc>
          <w:tcPr>
            <w:tcW w:type="dxa" w:w="380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Avant/après en ligne</w:t>
            </w:r>
          </w:p>
        </w:tc>
        <w:tc>
          <w:tcPr>
            <w:tcW w:type="dxa" w:w="278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0</w:t>
            </w:r>
          </w:p>
        </w:tc>
        <w:tc>
          <w:tcPr>
            <w:tcW w:type="dxa" w:w="2780"/>
            <w:shd w:fill="F2F5F7" w:val="clear"/>
            <w:tcMar>
              <w:top w:type="dxa" w:w="70"/>
              <w:left w:type="dxa" w:w="110"/>
              <w:bottom w:type="dxa" w:w="70"/>
              <w:right w:type="dxa" w:w="110"/>
            </w:tcMar>
          </w:tcPr>
          <w:p>
            <w:pPr>
              <w:spacing w:after="0" w:line="260"/>
              <w:jc w:val="left"/>
            </w:pPr>
            <w:r>
              <w:rPr>
                <w:b w:val="false"/>
                <w:bCs w:val="false"/>
                <w:color w:val="222222"/>
                <w:sz w:val="19"/>
                <w:szCs w:val="19"/>
              </w:rPr>
              <w:t xml:space="preserve">20+</w:t>
            </w:r>
          </w:p>
        </w:tc>
      </w:tr>
    </w:tbl>
    <w:p>
      <w:pPr>
        <w:spacing w:after="80"/>
      </w:pPr>
      <w:r>
        <w:t xml:space="preserve"/>
      </w:r>
    </w:p>
    <w:p>
      <w:pPr>
        <w:spacing w:after="140" w:line="276"/>
      </w:pPr>
      <w:r>
        <w:t xml:space="preserve">À surveiller dans Search Console : le passage du </w:t>
      </w:r>
      <w:r>
        <w:rPr>
          <w:b/>
          <w:bCs/>
        </w:rPr>
        <w:t xml:space="preserve">CTR de 0 % à un CTR réel</w:t>
      </w:r>
      <w:r>
        <w:t xml:space="preserve"> sur les requêtes « démoussage à [commune] ». C'est le thermomètre direct de cette stratégie.</w:t>
      </w:r>
    </w:p>
    <w:p>
      <w:pPr>
        <w:spacing w:after="80"/>
      </w:pPr>
      <w:r>
        <w:t xml:space="preserve"/>
      </w:r>
    </w:p>
    <w:p>
      <w:pPr>
        <w:shd w:fill="244B64" w:val="clear"/>
        <w:spacing w:after="120" w:before="120"/>
      </w:pPr>
      <w:r>
        <w:rPr>
          <w:b/>
          <w:bCs/>
          <w:color w:val="EF7E0F"/>
          <w:sz w:val="22"/>
          <w:szCs w:val="22"/>
        </w:rPr>
        <w:t xml:space="preserve">En résumé  </w:t>
      </w:r>
      <w:r>
        <w:rPr>
          <w:color w:val="FFFFFF"/>
        </w:rPr>
        <w:t xml:space="preserve">Vous rankez déjà sur le démoussage géolocalisé sans en récolter les clics. Une page dédiée par commune, portée par vos avant/après, transforme cette visibilité en rendez-vous. On récolte d'abord (Vague 1), on élargit ensuite (Vagues 2–3), et on laisse la preuve visuelle faire le travail de conviction.</w:t>
      </w:r>
    </w:p>
    <w:p>
      <w:pPr>
        <w:spacing w:before="40"/>
      </w:pPr>
      <w:r>
        <w:rPr>
          <w:i/>
          <w:iCs/>
          <w:color w:val="555555"/>
          <w:sz w:val="20"/>
          <w:szCs w:val="20"/>
        </w:rPr>
        <w:t xml:space="preserve">Prochaine étape possible : je rédige et intègre les 5 pages de la Vague 1 directement dans votre site Astro, avec les balises et les emplacements avant/après prêts à recevoir les photos.</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Renaud Rénov · Stratégie de contenu SEO local · </w:t>
    </w: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F7E0F"/>
      </w:r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F7E0F" w:sz="6" w:space="4"/>
      </w:pBdr>
      <w:spacing w:after="160" w:before="260"/>
      <w:outlineLvl w:val="0"/>
    </w:pPr>
    <w:rPr>
      <w:rFonts w:ascii="Arial" w:cs="Arial" w:eastAsia="Arial" w:hAnsi="Arial"/>
      <w:b/>
      <w:bCs/>
      <w:color w:val="244B64"/>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44B64"/>
      <w:sz w:val="25"/>
      <w:szCs w:val="25"/>
    </w:rPr>
  </w:style>
  <w:style w:type="paragraph" w:styleId="Heading3">
    <w:name w:val="Heading 3"/>
    <w:basedOn w:val="Normal"/>
    <w:next w:val="Normal"/>
    <w:qFormat/>
    <w:pPr>
      <w:spacing w:after="80" w:before="140"/>
      <w:outlineLvl w:val="2"/>
    </w:pPr>
    <w:rPr>
      <w:rFonts w:ascii="Arial" w:cs="Arial" w:eastAsia="Arial" w:hAnsi="Arial"/>
      <w:b/>
      <w:bCs/>
      <w:color w:val="EF7E0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2026-07-09T10:56:15.194Z</dcterms:created>
  <dcterms:modified xsi:type="dcterms:W3CDTF">2026-07-09T10:56:15.195Z</dcterms:modified>
</cp:coreProperties>
</file>

<file path=docProps/custom.xml><?xml version="1.0" encoding="utf-8"?>
<Properties xmlns="http://schemas.openxmlformats.org/officeDocument/2006/custom-properties" xmlns:vt="http://schemas.openxmlformats.org/officeDocument/2006/docPropsVTypes"/>
</file>