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46B0D" w14:textId="1F7DDF2D" w:rsidR="00744B14" w:rsidRPr="00CC4B8B" w:rsidRDefault="00744B14" w:rsidP="00744B14">
      <w:pPr>
        <w:rPr>
          <w:rFonts w:ascii="Arial" w:hAnsi="Arial"/>
          <w:sz w:val="20"/>
          <w:szCs w:val="20"/>
        </w:rPr>
      </w:pPr>
      <w:r w:rsidRPr="00CC4B8B">
        <w:rPr>
          <w:rFonts w:ascii="Arial" w:hAnsi="Arial"/>
          <w:sz w:val="20"/>
          <w:szCs w:val="20"/>
        </w:rPr>
        <w:t>The Philadelphia Police Department is the nation’s fourth-largest police department with over</w:t>
      </w:r>
      <w:r w:rsidR="005B20DF">
        <w:rPr>
          <w:rFonts w:ascii="Arial" w:hAnsi="Arial"/>
          <w:sz w:val="20"/>
          <w:szCs w:val="20"/>
        </w:rPr>
        <w:t xml:space="preserve"> </w:t>
      </w:r>
      <w:r w:rsidRPr="00CC4B8B">
        <w:rPr>
          <w:rFonts w:ascii="Arial" w:hAnsi="Arial"/>
          <w:sz w:val="20"/>
          <w:szCs w:val="20"/>
        </w:rPr>
        <w:t>6,000 sworn officers and 800 professional staff members. The Department serves</w:t>
      </w:r>
      <w:r w:rsidR="005B20DF">
        <w:rPr>
          <w:rFonts w:ascii="Arial" w:hAnsi="Arial"/>
          <w:sz w:val="20"/>
          <w:szCs w:val="20"/>
        </w:rPr>
        <w:t xml:space="preserve"> </w:t>
      </w:r>
      <w:r w:rsidRPr="00CC4B8B">
        <w:rPr>
          <w:rFonts w:ascii="Arial" w:hAnsi="Arial"/>
          <w:sz w:val="20"/>
          <w:szCs w:val="20"/>
        </w:rPr>
        <w:t>approximately 1.5 million residents.</w:t>
      </w:r>
    </w:p>
    <w:p w14:paraId="7DC36A71" w14:textId="162A4732" w:rsidR="00744B14" w:rsidRPr="00CC4B8B" w:rsidRDefault="00744B14" w:rsidP="00744B14">
      <w:pPr>
        <w:rPr>
          <w:rFonts w:ascii="Arial" w:hAnsi="Arial"/>
          <w:sz w:val="20"/>
          <w:szCs w:val="20"/>
        </w:rPr>
      </w:pPr>
      <w:r w:rsidRPr="00CC4B8B">
        <w:rPr>
          <w:rFonts w:ascii="Arial" w:hAnsi="Arial"/>
          <w:sz w:val="20"/>
          <w:szCs w:val="20"/>
        </w:rPr>
        <w:t>PPD recently completed a 12-month strategic planning process that engaged more than 200</w:t>
      </w:r>
      <w:r w:rsidR="005B20DF">
        <w:rPr>
          <w:rFonts w:ascii="Arial" w:hAnsi="Arial"/>
          <w:sz w:val="20"/>
          <w:szCs w:val="20"/>
        </w:rPr>
        <w:t xml:space="preserve"> </w:t>
      </w:r>
      <w:r w:rsidRPr="00CC4B8B">
        <w:rPr>
          <w:rFonts w:ascii="Arial" w:hAnsi="Arial"/>
          <w:sz w:val="20"/>
          <w:szCs w:val="20"/>
        </w:rPr>
        <w:t>participants, including sworn officers of every rank, professional staff, civic and business</w:t>
      </w:r>
      <w:r w:rsidR="00CC4B8B" w:rsidRPr="00CC4B8B">
        <w:rPr>
          <w:rFonts w:ascii="Arial" w:hAnsi="Arial"/>
          <w:sz w:val="20"/>
          <w:szCs w:val="20"/>
        </w:rPr>
        <w:t xml:space="preserve"> </w:t>
      </w:r>
      <w:r w:rsidRPr="00CC4B8B">
        <w:rPr>
          <w:rFonts w:ascii="Arial" w:hAnsi="Arial"/>
          <w:sz w:val="20"/>
          <w:szCs w:val="20"/>
        </w:rPr>
        <w:t>leaders, community advocates, and youth. For the first time in Department history, every rank,</w:t>
      </w:r>
      <w:r w:rsidR="00702C99">
        <w:rPr>
          <w:rFonts w:ascii="Arial" w:hAnsi="Arial"/>
          <w:sz w:val="20"/>
          <w:szCs w:val="20"/>
        </w:rPr>
        <w:t xml:space="preserve"> </w:t>
      </w:r>
      <w:r w:rsidRPr="00CC4B8B">
        <w:rPr>
          <w:rFonts w:ascii="Arial" w:hAnsi="Arial"/>
          <w:sz w:val="20"/>
          <w:szCs w:val="20"/>
        </w:rPr>
        <w:t>division, and bureau was represented in the planning process.</w:t>
      </w:r>
    </w:p>
    <w:p w14:paraId="7DC21792" w14:textId="68AAD206" w:rsidR="00744B14" w:rsidRPr="00CC4B8B" w:rsidRDefault="00744B14" w:rsidP="00744B14">
      <w:pPr>
        <w:rPr>
          <w:rFonts w:ascii="Arial" w:hAnsi="Arial"/>
          <w:sz w:val="20"/>
          <w:szCs w:val="20"/>
        </w:rPr>
      </w:pPr>
      <w:r w:rsidRPr="00CC4B8B">
        <w:rPr>
          <w:rFonts w:ascii="Arial" w:hAnsi="Arial"/>
          <w:sz w:val="20"/>
          <w:szCs w:val="20"/>
        </w:rPr>
        <w:t>The resulting five-year strategic plan includes five priority areas. Priority Area 1 focuses on</w:t>
      </w:r>
      <w:r w:rsidR="005B20DF">
        <w:rPr>
          <w:rFonts w:ascii="Arial" w:hAnsi="Arial"/>
          <w:sz w:val="20"/>
          <w:szCs w:val="20"/>
        </w:rPr>
        <w:t xml:space="preserve"> </w:t>
      </w:r>
      <w:r w:rsidRPr="00CC4B8B">
        <w:rPr>
          <w:rFonts w:ascii="Arial" w:hAnsi="Arial"/>
          <w:sz w:val="20"/>
          <w:szCs w:val="20"/>
        </w:rPr>
        <w:t>advancing trust with the community and partners.</w:t>
      </w:r>
    </w:p>
    <w:p w14:paraId="636D38B3" w14:textId="5FC1A6A6" w:rsidR="00744B14" w:rsidRPr="00CC4B8B" w:rsidRDefault="00744B14" w:rsidP="00744B14">
      <w:pPr>
        <w:rPr>
          <w:rFonts w:ascii="Arial" w:hAnsi="Arial"/>
          <w:sz w:val="20"/>
          <w:szCs w:val="20"/>
        </w:rPr>
      </w:pPr>
      <w:r w:rsidRPr="00CC4B8B">
        <w:rPr>
          <w:rFonts w:ascii="Arial" w:hAnsi="Arial"/>
          <w:sz w:val="20"/>
          <w:szCs w:val="20"/>
        </w:rPr>
        <w:t>Strategy 1.2.1 states:</w:t>
      </w:r>
      <w:r w:rsidR="005B20DF">
        <w:rPr>
          <w:rFonts w:ascii="Arial" w:hAnsi="Arial"/>
          <w:sz w:val="20"/>
          <w:szCs w:val="20"/>
        </w:rPr>
        <w:t xml:space="preserve"> </w:t>
      </w:r>
      <w:r w:rsidRPr="00CC4B8B">
        <w:rPr>
          <w:rFonts w:ascii="Arial" w:hAnsi="Arial"/>
          <w:sz w:val="20"/>
          <w:szCs w:val="20"/>
        </w:rPr>
        <w:t xml:space="preserve">“Develop and implement a </w:t>
      </w:r>
      <w:r w:rsidR="00702C99" w:rsidRPr="00CC4B8B">
        <w:rPr>
          <w:rFonts w:ascii="Arial" w:hAnsi="Arial"/>
          <w:sz w:val="20"/>
          <w:szCs w:val="20"/>
        </w:rPr>
        <w:t>department</w:t>
      </w:r>
      <w:r w:rsidRPr="00CC4B8B">
        <w:rPr>
          <w:rFonts w:ascii="Arial" w:hAnsi="Arial"/>
          <w:sz w:val="20"/>
          <w:szCs w:val="20"/>
        </w:rPr>
        <w:t xml:space="preserve">-wide community engagement </w:t>
      </w:r>
      <w:r w:rsidR="00855629" w:rsidRPr="00CC4B8B">
        <w:rPr>
          <w:rFonts w:ascii="Arial" w:hAnsi="Arial"/>
          <w:sz w:val="20"/>
          <w:szCs w:val="20"/>
        </w:rPr>
        <w:t xml:space="preserve">framework, </w:t>
      </w:r>
      <w:r w:rsidR="00855629">
        <w:rPr>
          <w:rFonts w:ascii="Arial" w:hAnsi="Arial"/>
          <w:sz w:val="20"/>
          <w:szCs w:val="20"/>
        </w:rPr>
        <w:t>including</w:t>
      </w:r>
      <w:r w:rsidRPr="00CC4B8B">
        <w:rPr>
          <w:rFonts w:ascii="Arial" w:hAnsi="Arial"/>
          <w:sz w:val="20"/>
          <w:szCs w:val="20"/>
        </w:rPr>
        <w:t xml:space="preserve"> a</w:t>
      </w:r>
      <w:r w:rsidR="005B20DF">
        <w:rPr>
          <w:rFonts w:ascii="Arial" w:hAnsi="Arial"/>
          <w:sz w:val="20"/>
          <w:szCs w:val="20"/>
        </w:rPr>
        <w:t xml:space="preserve"> </w:t>
      </w:r>
      <w:r w:rsidRPr="00CC4B8B">
        <w:rPr>
          <w:rFonts w:ascii="Arial" w:hAnsi="Arial"/>
          <w:sz w:val="20"/>
          <w:szCs w:val="20"/>
        </w:rPr>
        <w:t>community policing directive, clear standard operating procedures, and ongoing district-level</w:t>
      </w:r>
      <w:r w:rsidR="005B20DF">
        <w:rPr>
          <w:rFonts w:ascii="Arial" w:hAnsi="Arial"/>
          <w:sz w:val="20"/>
          <w:szCs w:val="20"/>
        </w:rPr>
        <w:t xml:space="preserve"> </w:t>
      </w:r>
      <w:r w:rsidRPr="00CC4B8B">
        <w:rPr>
          <w:rFonts w:ascii="Arial" w:hAnsi="Arial"/>
          <w:sz w:val="20"/>
          <w:szCs w:val="20"/>
        </w:rPr>
        <w:t>support and guidance.”</w:t>
      </w:r>
    </w:p>
    <w:p w14:paraId="5C688E92" w14:textId="7116D29B" w:rsidR="00744B14" w:rsidRPr="00CC4B8B" w:rsidRDefault="00744B14" w:rsidP="00744B14">
      <w:pPr>
        <w:rPr>
          <w:rFonts w:ascii="Arial" w:hAnsi="Arial"/>
          <w:sz w:val="20"/>
          <w:szCs w:val="20"/>
        </w:rPr>
      </w:pPr>
      <w:r w:rsidRPr="00CC4B8B">
        <w:rPr>
          <w:rFonts w:ascii="Arial" w:hAnsi="Arial"/>
          <w:sz w:val="20"/>
          <w:szCs w:val="20"/>
        </w:rPr>
        <w:t>This strategy is foundational to strengthening the Community Partnerships Bureau as a</w:t>
      </w:r>
      <w:r w:rsidR="00702C99">
        <w:rPr>
          <w:rFonts w:ascii="Arial" w:hAnsi="Arial"/>
          <w:sz w:val="20"/>
          <w:szCs w:val="20"/>
        </w:rPr>
        <w:t xml:space="preserve"> d</w:t>
      </w:r>
      <w:r w:rsidRPr="00CC4B8B">
        <w:rPr>
          <w:rFonts w:ascii="Arial" w:hAnsi="Arial"/>
          <w:sz w:val="20"/>
          <w:szCs w:val="20"/>
        </w:rPr>
        <w:t>epartment-wide capacity-building function.</w:t>
      </w:r>
    </w:p>
    <w:p w14:paraId="43CD20E1" w14:textId="0F35BC78" w:rsidR="00DD25CA" w:rsidRPr="00CC4B8B" w:rsidRDefault="00744B14" w:rsidP="00744B14">
      <w:pPr>
        <w:rPr>
          <w:rFonts w:ascii="Arial" w:hAnsi="Arial"/>
          <w:sz w:val="20"/>
          <w:szCs w:val="20"/>
        </w:rPr>
      </w:pPr>
      <w:r w:rsidRPr="00CC4B8B">
        <w:rPr>
          <w:rFonts w:ascii="Arial" w:hAnsi="Arial"/>
          <w:sz w:val="20"/>
          <w:szCs w:val="20"/>
        </w:rPr>
        <w:t xml:space="preserve">Using </w:t>
      </w:r>
      <w:r w:rsidR="002A41A0">
        <w:rPr>
          <w:rFonts w:ascii="Arial" w:hAnsi="Arial"/>
          <w:sz w:val="20"/>
          <w:szCs w:val="20"/>
        </w:rPr>
        <w:t>the strategy document</w:t>
      </w:r>
      <w:r w:rsidRPr="00CC4B8B">
        <w:rPr>
          <w:rFonts w:ascii="Arial" w:hAnsi="Arial"/>
          <w:sz w:val="20"/>
          <w:szCs w:val="20"/>
        </w:rPr>
        <w:t xml:space="preserve">, develop </w:t>
      </w:r>
      <w:r w:rsidR="00702C99">
        <w:rPr>
          <w:rFonts w:ascii="Arial" w:hAnsi="Arial"/>
          <w:sz w:val="20"/>
          <w:szCs w:val="20"/>
        </w:rPr>
        <w:t>a</w:t>
      </w:r>
      <w:r w:rsidRPr="00CC4B8B">
        <w:rPr>
          <w:rFonts w:ascii="Arial" w:hAnsi="Arial"/>
          <w:sz w:val="20"/>
          <w:szCs w:val="20"/>
        </w:rPr>
        <w:t xml:space="preserve"> 12–18 month</w:t>
      </w:r>
      <w:r w:rsidR="005B20DF">
        <w:rPr>
          <w:rFonts w:ascii="Arial" w:hAnsi="Arial"/>
          <w:sz w:val="20"/>
          <w:szCs w:val="20"/>
        </w:rPr>
        <w:t xml:space="preserve"> </w:t>
      </w:r>
      <w:r w:rsidR="00702C99">
        <w:rPr>
          <w:rFonts w:ascii="Arial" w:hAnsi="Arial"/>
          <w:sz w:val="20"/>
          <w:szCs w:val="20"/>
        </w:rPr>
        <w:t>Project Charter for</w:t>
      </w:r>
      <w:r w:rsidRPr="00CC4B8B">
        <w:rPr>
          <w:rFonts w:ascii="Arial" w:hAnsi="Arial"/>
          <w:sz w:val="20"/>
          <w:szCs w:val="20"/>
        </w:rPr>
        <w:t xml:space="preserve"> Strategy 1.2.1.</w:t>
      </w:r>
    </w:p>
    <w:sectPr w:rsidR="00DD25CA" w:rsidRPr="00CC4B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A0B34"/>
    <w:multiLevelType w:val="hybridMultilevel"/>
    <w:tmpl w:val="0ACC8B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3438E1"/>
    <w:multiLevelType w:val="hybridMultilevel"/>
    <w:tmpl w:val="001EE8D6"/>
    <w:lvl w:ilvl="0" w:tplc="BBE498A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8183943">
    <w:abstractNumId w:val="1"/>
  </w:num>
  <w:num w:numId="2" w16cid:durableId="453594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188"/>
    <w:rsid w:val="00082E06"/>
    <w:rsid w:val="00165535"/>
    <w:rsid w:val="0024772E"/>
    <w:rsid w:val="002568EC"/>
    <w:rsid w:val="002A41A0"/>
    <w:rsid w:val="002C6197"/>
    <w:rsid w:val="005B20DF"/>
    <w:rsid w:val="00702C99"/>
    <w:rsid w:val="00727188"/>
    <w:rsid w:val="00744B14"/>
    <w:rsid w:val="00855629"/>
    <w:rsid w:val="00CC4B8B"/>
    <w:rsid w:val="00DD25CA"/>
    <w:rsid w:val="00F06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D1C7E"/>
  <w15:chartTrackingRefBased/>
  <w15:docId w15:val="{542D0B2A-9DEC-4F4A-9113-6F3FD6878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1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1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1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1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1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1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1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1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1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1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1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1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1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1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1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1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1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169</Words>
  <Characters>966</Characters>
  <Application>Microsoft Office Word</Application>
  <DocSecurity>0</DocSecurity>
  <Lines>8</Lines>
  <Paragraphs>2</Paragraphs>
  <ScaleCrop>false</ScaleCrop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Mora</dc:creator>
  <cp:keywords/>
  <dc:description/>
  <cp:lastModifiedBy>James Mora</cp:lastModifiedBy>
  <cp:revision>9</cp:revision>
  <dcterms:created xsi:type="dcterms:W3CDTF">2026-06-10T20:21:00Z</dcterms:created>
  <dcterms:modified xsi:type="dcterms:W3CDTF">2026-06-10T20:29:00Z</dcterms:modified>
</cp:coreProperties>
</file>