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1beb6f1669da4ed4" /></Relationships>
</file>

<file path=word/document.xml><?xml version="1.0" encoding="utf-8"?>
<w:document xmlns:w="http://schemas.openxmlformats.org/wordprocessingml/2006/main">
  <w:body>
    <w:p>
      <w:pPr>
        <w:pStyle w:val="Heading1"/>
      </w:pPr>
      <w:r>
        <w:t>Synthetic Project Meeting Notes - Version 3</w:t>
      </w:r>
    </w:p>
    <w:p>
      <w:pPr>
        <w:pStyle w:val="Heading2"/>
      </w:pPr>
      <w:r>
        <w:t>Document Purpose</w:t>
      </w:r>
    </w:p>
    <w:p>
      <w:r>
        <w:t>This document contains synthetic meeting notes, Version 3, designed for ingestion and testing of automated risk detection systems. The notes simulate a project progression with escalating early warning triggers for schedule slip, culminating in a confirmed milestone delay and subsequent resolution. The content is structured for machine parsing with standardized fields and repeated trigger phrases to ensure detectability.</w:t>
      </w:r>
    </w:p>
    <w:p>
      <w:pPr>
        <w:pStyle w:val="Heading2"/>
      </w:pPr>
      <w:r>
        <w:t>Project Schedule Context</w:t>
      </w:r>
    </w:p>
    <w:p>
      <w:r>
        <w:t>All schedule dates and milestones referenced in these notes align with the schedule information provided in the user's uploaded artifact</w:t>
      </w:r>
    </w:p>
    <w:p>
      <w:r>
        <w:t>compact_schedule_slip_fixture.txt</w:t>
      </w:r>
    </w:p>
    <w:p>
      <w:r>
        <w:t>.</w:t>
      </w:r>
    </w:p>
    <w:p>
      <w:r>
        <w:rPr>
          <w:b/>
        </w:rPr>
        <w:t>Key Project Dates:</w:t>
      </w:r>
    </w:p>
    <w:p>
      <w:pPr>
        <w:pStyle w:val="ListParagraph"/>
        <w:numPr>
          <w:ilvl w:val="0"/>
          <w:numId w:val="2"/>
        </w:numPr>
      </w:pPr>
      <w:r>
        <w:rPr>
          <w:b/>
        </w:rPr>
        <w:t>Project Start:</w:t>
      </w:r>
      <w:r>
        <w:t xml:space="preserve"> </w:t>
      </w:r>
      <w:r>
        <w:t>January 5, 2026, 8:00 AM</w:t>
      </w:r>
    </w:p>
    <w:p>
      <w:pPr>
        <w:pStyle w:val="ListParagraph"/>
        <w:numPr>
          <w:ilvl w:val="0"/>
          <w:numId w:val="2"/>
        </w:numPr>
      </w:pPr>
      <w:r>
        <w:rPr>
          <w:b/>
        </w:rPr>
        <w:t>Final Baseline Milestone (Production Signoff):</w:t>
      </w:r>
      <w:r>
        <w:t xml:space="preserve"> </w:t>
      </w:r>
      <w:r>
        <w:t>January 30, 2026, 5:00 PM</w:t>
      </w:r>
    </w:p>
    <w:p>
      <w:pPr>
        <w:pStyle w:val="ListParagraph"/>
        <w:numPr>
          <w:ilvl w:val="0"/>
          <w:numId w:val="2"/>
        </w:numPr>
      </w:pPr>
      <w:r>
        <w:rPr>
          <w:b/>
        </w:rPr>
        <w:t>Final Slipped Milestone (Production Signoff):</w:t>
      </w:r>
      <w:r>
        <w:t xml:space="preserve"> </w:t>
      </w:r>
      <w:r>
        <w:t>February 6, 2026, 5:00 PM</w:t>
      </w:r>
    </w:p>
    <w:p>
      <w:pPr>
        <w:pStyle w:val="ListParagraph"/>
        <w:numPr>
          <w:ilvl w:val="0"/>
          <w:numId w:val="2"/>
        </w:numPr>
      </w:pPr>
      <w:r>
        <w:rPr>
          <w:b/>
        </w:rPr>
        <w:t>Final Current Project Finish:</w:t>
      </w:r>
      <w:r>
        <w:t xml:space="preserve"> </w:t>
      </w:r>
      <w:r>
        <w:t>February 6, 2026, 5:00 PM</w:t>
      </w:r>
    </w:p>
    <w:p>
      <w:r>
        <w:rPr>
          <w:b/>
        </w:rPr>
        <w:t>Key Task Timelines (Baseline vs. Current):</w:t>
      </w:r>
    </w:p>
    <w:p>
      <w:pPr>
        <w:pStyle w:val="ListParagraph"/>
        <w:numPr>
          <w:ilvl w:val="0"/>
          <w:numId w:val="3"/>
        </w:numPr>
      </w:pPr>
      <w:r>
        <w:rPr>
          <w:b/>
        </w:rPr>
        <w:t>Kickoff:</w:t>
      </w:r>
      <w:r>
        <w:t xml:space="preserve"> </w:t>
      </w:r>
      <w:r>
        <w:t>January 5, 2026 (Baseline &amp; Current)</w:t>
      </w:r>
    </w:p>
    <w:p>
      <w:pPr>
        <w:pStyle w:val="ListParagraph"/>
        <w:numPr>
          <w:ilvl w:val="0"/>
          <w:numId w:val="3"/>
        </w:numPr>
      </w:pPr>
      <w:r>
        <w:rPr>
          <w:b/>
        </w:rPr>
        <w:t>Requirements/Planning:</w:t>
      </w:r>
    </w:p>
    <w:p>
      <w:pPr>
        <w:pStyle w:val="ListParagraph"/>
        <w:numPr>
          <w:ilvl w:val="1"/>
          <w:numId w:val="3"/>
        </w:numPr>
        <w:ind w:left="720"/>
      </w:pPr>
      <w:r>
        <w:t>Baseline: January 6–9, 2026</w:t>
      </w:r>
    </w:p>
    <w:p>
      <w:pPr>
        <w:pStyle w:val="ListParagraph"/>
        <w:numPr>
          <w:ilvl w:val="1"/>
          <w:numId w:val="3"/>
        </w:numPr>
        <w:ind w:left="720"/>
      </w:pPr>
      <w:r>
        <w:t>Current: January 6–12, 2026</w:t>
      </w:r>
    </w:p>
    <w:p>
      <w:pPr>
        <w:pStyle w:val="ListParagraph"/>
        <w:numPr>
          <w:ilvl w:val="0"/>
          <w:numId w:val="3"/>
        </w:numPr>
      </w:pPr>
      <w:r>
        <w:rPr>
          <w:b/>
        </w:rPr>
        <w:t>Build:</w:t>
      </w:r>
    </w:p>
    <w:p>
      <w:pPr>
        <w:pStyle w:val="ListParagraph"/>
        <w:numPr>
          <w:ilvl w:val="1"/>
          <w:numId w:val="3"/>
        </w:numPr>
        <w:ind w:left="720"/>
      </w:pPr>
      <w:r>
        <w:t>Baseline: January 10–16, 2026</w:t>
      </w:r>
    </w:p>
    <w:p>
      <w:pPr>
        <w:pStyle w:val="ListParagraph"/>
        <w:numPr>
          <w:ilvl w:val="1"/>
          <w:numId w:val="3"/>
        </w:numPr>
        <w:ind w:left="720"/>
      </w:pPr>
      <w:r>
        <w:t>Current: January 13–21, 2026</w:t>
      </w:r>
    </w:p>
    <w:p>
      <w:pPr>
        <w:pStyle w:val="ListParagraph"/>
        <w:numPr>
          <w:ilvl w:val="0"/>
          <w:numId w:val="3"/>
        </w:numPr>
      </w:pPr>
      <w:r>
        <w:rPr>
          <w:b/>
        </w:rPr>
        <w:t>Vendor Delivery:</w:t>
      </w:r>
    </w:p>
    <w:p>
      <w:pPr>
        <w:pStyle w:val="ListParagraph"/>
        <w:numPr>
          <w:ilvl w:val="1"/>
          <w:numId w:val="3"/>
        </w:numPr>
        <w:ind w:left="720"/>
      </w:pPr>
      <w:r>
        <w:t>Baseline: January 10–17, 2026</w:t>
      </w:r>
    </w:p>
    <w:p>
      <w:pPr>
        <w:pStyle w:val="ListParagraph"/>
        <w:numPr>
          <w:ilvl w:val="1"/>
          <w:numId w:val="3"/>
        </w:numPr>
        <w:ind w:left="720"/>
      </w:pPr>
      <w:r>
        <w:t>Current: January 13–23, 2026</w:t>
      </w:r>
    </w:p>
    <w:p>
      <w:pPr>
        <w:pStyle w:val="ListParagraph"/>
        <w:numPr>
          <w:ilvl w:val="0"/>
          <w:numId w:val="3"/>
        </w:numPr>
      </w:pPr>
      <w:r>
        <w:rPr>
          <w:b/>
        </w:rPr>
        <w:t>Integration and Test:</w:t>
      </w:r>
    </w:p>
    <w:p>
      <w:pPr>
        <w:pStyle w:val="ListParagraph"/>
        <w:numPr>
          <w:ilvl w:val="1"/>
          <w:numId w:val="3"/>
        </w:numPr>
        <w:ind w:left="720"/>
      </w:pPr>
      <w:r>
        <w:t>Baseline: January 20–27, 2026</w:t>
      </w:r>
    </w:p>
    <w:p>
      <w:pPr>
        <w:pStyle w:val="ListParagraph"/>
        <w:numPr>
          <w:ilvl w:val="1"/>
          <w:numId w:val="3"/>
        </w:numPr>
        <w:ind w:left="720"/>
      </w:pPr>
      <w:r>
        <w:t>Current: January 26–February 2, 2026</w:t>
      </w:r>
    </w:p>
    <w:p>
      <w:pPr>
        <w:pStyle w:val="ListParagraph"/>
        <w:numPr>
          <w:ilvl w:val="0"/>
          <w:numId w:val="3"/>
        </w:numPr>
      </w:pPr>
      <w:r>
        <w:rPr>
          <w:b/>
        </w:rPr>
        <w:t>Readiness Review:</w:t>
      </w:r>
    </w:p>
    <w:p>
      <w:pPr>
        <w:pStyle w:val="ListParagraph"/>
        <w:numPr>
          <w:ilvl w:val="1"/>
          <w:numId w:val="3"/>
        </w:numPr>
        <w:ind w:left="720"/>
      </w:pPr>
      <w:r>
        <w:t>Baseline: January 28–30, 2026</w:t>
      </w:r>
    </w:p>
    <w:p>
      <w:pPr>
        <w:pStyle w:val="ListParagraph"/>
        <w:numPr>
          <w:ilvl w:val="1"/>
          <w:numId w:val="3"/>
        </w:numPr>
        <w:ind w:left="720"/>
      </w:pPr>
      <w:r>
        <w:t>Current: February 3–5, 2026</w:t>
      </w:r>
    </w:p>
    <w:p>
      <w:pPr>
        <w:pStyle w:val="ListParagraph"/>
        <w:numPr>
          <w:ilvl w:val="0"/>
          <w:numId w:val="3"/>
        </w:numPr>
      </w:pPr>
      <w:r>
        <w:rPr>
          <w:b/>
        </w:rPr>
        <w:t>Production Signoff Milestone:</w:t>
      </w:r>
    </w:p>
    <w:p>
      <w:pPr>
        <w:pStyle w:val="ListParagraph"/>
        <w:numPr>
          <w:ilvl w:val="1"/>
          <w:numId w:val="3"/>
        </w:numPr>
        <w:ind w:left="720"/>
      </w:pPr>
      <w:r>
        <w:t>Baseline: January 30, 2026</w:t>
      </w:r>
    </w:p>
    <w:p>
      <w:pPr>
        <w:pStyle w:val="ListParagraph"/>
        <w:numPr>
          <w:ilvl w:val="1"/>
          <w:numId w:val="3"/>
        </w:numPr>
        <w:ind w:left="720"/>
      </w:pPr>
      <w:r>
        <w:t>Current: February 6, 2026</w:t>
      </w:r>
    </w:p>
    <w:p>
      <w:pPr>
        <w:pStyle w:val="Heading2"/>
      </w:pPr>
      <w:r>
        <w:t>Meeting ID: PMN-20260108-001</w:t>
      </w:r>
    </w:p>
    <w:p>
      <w:pPr>
        <w:pStyle w:val="Heading3"/>
      </w:pPr>
      <w:r>
        <w:t>Meeting Date: January 8, 2026</w:t>
      </w:r>
    </w:p>
    <w:p>
      <w:pPr>
        <w:pStyle w:val="Heading3"/>
      </w:pPr>
      <w:r>
        <w:t>Meeting Type: Weekly Project Status</w:t>
      </w:r>
    </w:p>
    <w:p>
      <w:pPr>
        <w:pStyle w:val="Heading3"/>
      </w:pPr>
      <w:r>
        <w:t>Objective: Review initial project progress, identify immediate risks.</w:t>
      </w:r>
    </w:p>
    <w:p>
      <w:pPr>
        <w:pStyle w:val="Heading3"/>
      </w:pPr>
      <w:r>
        <w:t>Attendees: Project Manager, Technical Lead, QA Lead, Business Analyst</w:t>
      </w:r>
    </w:p>
    <w:p>
      <w:pPr>
        <w:pStyle w:val="Heading3"/>
      </w:pPr>
      <w:r>
        <w:t>Schedule Status:</w:t>
      </w:r>
    </w:p>
    <w:p>
      <w:r>
        <w:t>The Requirements/planning phase (baseline Jan 6–9, 2026) is showing initial drag, with the current estimate extending to January 12, 2026. This indicates a potential 'target date at risk' for subsequent activities. The overall Production Signoff Milestone (baseline Jan 30, 2026) is deemed a 'milestone at risk' if current trends persist. This schedule alignment is sourced from the user's uploaded artifact</w:t>
      </w:r>
    </w:p>
    <w:p>
      <w:r>
        <w:t>compact_schedule_slip_fixture.txt</w:t>
      </w:r>
    </w:p>
    <w:p>
      <w:r>
        <w:t>.</w:t>
      </w:r>
    </w:p>
    <w:p>
      <w:pPr>
        <w:pStyle w:val="Heading3"/>
      </w:pPr>
      <w:r>
        <w:t>Milestones at Risk: Production Signoff Milestone (baseline Jan 30, 2026)</w:t>
      </w:r>
    </w:p>
    <w:p>
      <w:pPr>
        <w:pStyle w:val="Heading3"/>
      </w:pPr>
      <w:r>
        <w:t>Trigger Indicators:</w:t>
      </w:r>
    </w:p>
    <w:p>
      <w:r>
        <w:t>Initial discussions regarding requirements for specific modules are proving more complex and protracted than anticipated, suggesting 'requirements not stable'. This directly contributes to the 'target date at risk'.</w:t>
      </w:r>
    </w:p>
    <w:p>
      <w:pPr>
        <w:pStyle w:val="Heading3"/>
      </w:pPr>
      <w:r>
        <w:t>Decisions:</w:t>
      </w:r>
    </w:p>
    <w:p>
      <w:r>
        <w:t>None at this time, focused on risk identification.</w:t>
      </w:r>
    </w:p>
    <w:p>
      <w:pPr>
        <w:pStyle w:val="Heading3"/>
      </w:pPr>
      <w:r>
        <w:t>Action Items:</w:t>
      </w:r>
    </w:p>
    <w:tbl>
      <w:tblPr>
        <w:tblStyle w:val="TableGrid"/>
        <w:tblW w:w="0" w:type="auto"/>
        <w:tblBorders>
          <w:top w:val="single" w:sz="4"/>
          <w:left w:val="single" w:sz="4"/>
          <w:bottom w:val="single" w:sz="4"/>
          <w:right w:val="single" w:sz="4"/>
          <w:insideH w:val="single" w:sz="4"/>
          <w:insideV w:val="single" w:sz="4"/>
        </w:tblBorders>
      </w:tblPr>
      <w:tblGrid>
        <w:gridCol/>
        <w:gridCol/>
        <w:gridCol/>
        <w:gridCol/>
      </w:tblGrid>
      <w:tr>
        <w:trPr/>
        <w:tc>
          <w:tcPr>
            <w:vAlign w:val="center"/>
          </w:tcPr>
          <w:p>
            <w:pPr>
              <w:keepNext/>
              <w:jc w:val="left"/>
            </w:pPr>
            <w:r>
              <w:t>Owner</w:t>
            </w:r>
          </w:p>
        </w:tc>
        <w:tc>
          <w:tcPr>
            <w:vAlign w:val="center"/>
          </w:tcPr>
          <w:p>
            <w:pPr>
              <w:keepNext/>
              <w:jc w:val="left"/>
            </w:pPr>
            <w:r>
              <w:t>Due Date</w:t>
            </w:r>
          </w:p>
        </w:tc>
        <w:tc>
          <w:tcPr>
            <w:vAlign w:val="center"/>
          </w:tcPr>
          <w:p>
            <w:pPr>
              <w:keepNext/>
              <w:jc w:val="left"/>
            </w:pPr>
            <w:r>
              <w:t>Status</w:t>
            </w:r>
          </w:p>
        </w:tc>
        <w:tc>
          <w:tcPr>
            <w:vAlign w:val="center"/>
          </w:tcPr>
          <w:p>
            <w:pPr>
              <w:keepNext/>
              <w:jc w:val="left"/>
            </w:pPr>
            <w:r>
              <w:t>Description</w:t>
            </w:r>
          </w:p>
        </w:tc>
      </w:tr>
      <w:tr>
        <w:trPr/>
        <w:tc>
          <w:tcPr>
            <w:vAlign w:val="center"/>
          </w:tcPr>
          <w:p>
            <w:pPr>
              <w:keepNext/>
              <w:jc w:val="left"/>
            </w:pPr>
            <w:r>
              <w:t>Business Analyst</w:t>
            </w:r>
          </w:p>
        </w:tc>
        <w:tc>
          <w:tcPr>
            <w:vAlign w:val="center"/>
          </w:tcPr>
          <w:p>
            <w:pPr>
              <w:keepNext/>
              <w:jc w:val="left"/>
            </w:pPr>
            <w:r>
              <w:t>January 10, 2026</w:t>
            </w:r>
          </w:p>
        </w:tc>
        <w:tc>
          <w:tcPr>
            <w:vAlign w:val="center"/>
          </w:tcPr>
          <w:p>
            <w:pPr>
              <w:keepNext/>
              <w:jc w:val="left"/>
            </w:pPr>
            <w:r>
              <w:t>Open</w:t>
            </w:r>
          </w:p>
        </w:tc>
        <w:tc>
          <w:tcPr>
            <w:vAlign w:val="center"/>
          </w:tcPr>
          <w:p>
            <w:pPr>
              <w:keepNext/>
              <w:jc w:val="left"/>
            </w:pPr>
            <w:r>
              <w:t>Conduct focused review of Requirements/planning scope to identify potential efficiencies.</w:t>
            </w:r>
          </w:p>
        </w:tc>
      </w:tr>
    </w:tbl>
    <w:p>
      <w:pPr>
        <w:pStyle w:val="Heading3"/>
      </w:pPr>
      <w:r>
        <w:t>Open Risks:</w:t>
      </w:r>
    </w:p>
    <w:p>
      <w:r>
        <w:t>Potential for scope creep in the Requirements/planning phase.</w:t>
      </w:r>
    </w:p>
    <w:p>
      <w:pPr>
        <w:pStyle w:val="Heading3"/>
      </w:pPr>
      <w:r>
        <w:t>Dependencies:</w:t>
      </w:r>
    </w:p>
    <w:p>
      <w:r>
        <w:t>Finalized requirements are dependent on timely stakeholder sign-off and clarity.</w:t>
      </w:r>
    </w:p>
    <w:p>
      <w:pPr>
        <w:pStyle w:val="Heading3"/>
      </w:pPr>
      <w:r>
        <w:t>Explicit Trigger Phrases:</w:t>
      </w:r>
    </w:p>
    <w:p>
      <w:r>
        <w:t>milestone at risk, requirements not stable, target date at risk</w:t>
      </w:r>
    </w:p>
    <w:p>
      <w:pPr>
        <w:pStyle w:val="Heading2"/>
      </w:pPr>
      <w:r>
        <w:t>Meeting ID: PMN-20260115-002</w:t>
      </w:r>
    </w:p>
    <w:p>
      <w:pPr>
        <w:pStyle w:val="Heading3"/>
      </w:pPr>
      <w:r>
        <w:t>Meeting Date: January 15, 2026</w:t>
      </w:r>
    </w:p>
    <w:p>
      <w:pPr>
        <w:pStyle w:val="Heading3"/>
      </w:pPr>
      <w:r>
        <w:t>Meeting Type: Weekly Project Status</w:t>
      </w:r>
    </w:p>
    <w:p>
      <w:pPr>
        <w:pStyle w:val="Heading3"/>
      </w:pPr>
      <w:r>
        <w:t>Objective: Assess progress on Build and Vendor Delivery, address emerging blockers.</w:t>
      </w:r>
    </w:p>
    <w:p>
      <w:pPr>
        <w:pStyle w:val="Heading3"/>
      </w:pPr>
      <w:r>
        <w:t>Attendees: Project Manager, Technical Lead, QA Lead, Procurement Manager</w:t>
      </w:r>
    </w:p>
    <w:p>
      <w:pPr>
        <w:pStyle w:val="Heading3"/>
      </w:pPr>
      <w:r>
        <w:t>Schedule Status:</w:t>
      </w:r>
    </w:p>
    <w:p>
      <w:r>
        <w:t>The Requirements/planning phase officially completed on January 12, 2026. The Build phase started on January 13, 2026, already experiencing a 'dependency delay' from the extended Requirements/planning. The Build phase (baseline Jan 10–16, 2026) is currently estimated to complete on January 21, 2026. Vendor Delivery (baseline Jan 10–17, 2026) is also showing signs of 'vendor delivery delay', with current estimates pushing it to January 23, 2026. The Production Signoff Milestone (baseline Jan 30, 2026) is now clearly a 'milestone at risk' due to these accumulating delays. This schedule alignment is sourced from the user's uploaded artifact</w:t>
      </w:r>
    </w:p>
    <w:p>
      <w:r>
        <w:t>compact_schedule_slip_fixture.txt</w:t>
      </w:r>
    </w:p>
    <w:p>
      <w:r>
        <w:t>.</w:t>
      </w:r>
    </w:p>
    <w:p>
      <w:pPr>
        <w:pStyle w:val="Heading3"/>
      </w:pPr>
      <w:r>
        <w:t>Milestones at Risk: Production Signoff Milestone (baseline Jan 30, 2026)</w:t>
      </w:r>
    </w:p>
    <w:p>
      <w:pPr>
        <w:pStyle w:val="Heading3"/>
      </w:pPr>
      <w:r>
        <w:t>Trigger Indicators:</w:t>
      </w:r>
    </w:p>
    <w:p>
      <w:r>
        <w:t>Vendor A has formally communicated potential delays in delivering a critical hardware component, indicating a confirmed 'vendor delivery delay'. Additionally, setting up the integration environment is encountering persistent configuration issues, leading to 'environment instability'.</w:t>
      </w:r>
    </w:p>
    <w:p>
      <w:pPr>
        <w:pStyle w:val="Heading3"/>
      </w:pPr>
      <w:r>
        <w:t>Decisions:</w:t>
      </w:r>
    </w:p>
    <w:p>
      <w:r>
        <w:t>Initiate a daily stand-up with Vendor A to monitor component delivery.</w:t>
      </w:r>
    </w:p>
    <w:p>
      <w:pPr>
        <w:pStyle w:val="Heading3"/>
      </w:pPr>
      <w:r>
        <w:t>Action Items:</w:t>
      </w:r>
    </w:p>
    <w:tbl>
      <w:tblPr>
        <w:tblStyle w:val="TableGrid"/>
        <w:tblW w:w="0" w:type="auto"/>
        <w:tblBorders>
          <w:top w:val="single" w:sz="4"/>
          <w:left w:val="single" w:sz="4"/>
          <w:bottom w:val="single" w:sz="4"/>
          <w:right w:val="single" w:sz="4"/>
          <w:insideH w:val="single" w:sz="4"/>
          <w:insideV w:val="single" w:sz="4"/>
        </w:tblBorders>
      </w:tblPr>
      <w:tblGrid>
        <w:gridCol/>
        <w:gridCol/>
        <w:gridCol/>
        <w:gridCol/>
      </w:tblGrid>
      <w:tr>
        <w:trPr/>
        <w:tc>
          <w:tcPr>
            <w:vAlign w:val="center"/>
          </w:tcPr>
          <w:p>
            <w:pPr>
              <w:keepNext/>
              <w:jc w:val="left"/>
            </w:pPr>
            <w:r>
              <w:t>Owner</w:t>
            </w:r>
          </w:p>
        </w:tc>
        <w:tc>
          <w:tcPr>
            <w:vAlign w:val="center"/>
          </w:tcPr>
          <w:p>
            <w:pPr>
              <w:keepNext/>
              <w:jc w:val="left"/>
            </w:pPr>
            <w:r>
              <w:t>Due Date</w:t>
            </w:r>
          </w:p>
        </w:tc>
        <w:tc>
          <w:tcPr>
            <w:vAlign w:val="center"/>
          </w:tcPr>
          <w:p>
            <w:pPr>
              <w:keepNext/>
              <w:jc w:val="left"/>
            </w:pPr>
            <w:r>
              <w:t>Status</w:t>
            </w:r>
          </w:p>
        </w:tc>
        <w:tc>
          <w:tcPr>
            <w:vAlign w:val="center"/>
          </w:tcPr>
          <w:p>
            <w:pPr>
              <w:keepNext/>
              <w:jc w:val="left"/>
            </w:pPr>
            <w:r>
              <w:t>Description</w:t>
            </w:r>
          </w:p>
        </w:tc>
      </w:tr>
      <w:tr>
        <w:trPr/>
        <w:tc>
          <w:tcPr>
            <w:vAlign w:val="center"/>
          </w:tcPr>
          <w:p>
            <w:pPr>
              <w:keepNext/>
              <w:jc w:val="left"/>
            </w:pPr>
            <w:r>
              <w:t>Procurement Manager</w:t>
            </w:r>
          </w:p>
        </w:tc>
        <w:tc>
          <w:tcPr>
            <w:vAlign w:val="center"/>
          </w:tcPr>
          <w:p>
            <w:pPr>
              <w:keepNext/>
              <w:jc w:val="left"/>
            </w:pPr>
            <w:r>
              <w:t>January 17, 2026</w:t>
            </w:r>
          </w:p>
        </w:tc>
        <w:tc>
          <w:tcPr>
            <w:vAlign w:val="center"/>
          </w:tcPr>
          <w:p>
            <w:pPr>
              <w:keepNext/>
              <w:jc w:val="left"/>
            </w:pPr>
            <w:r>
              <w:t>Open</w:t>
            </w:r>
          </w:p>
        </w:tc>
        <w:tc>
          <w:tcPr>
            <w:vAlign w:val="center"/>
          </w:tcPr>
          <w:p>
            <w:pPr>
              <w:keepNext/>
              <w:jc w:val="left"/>
            </w:pPr>
            <w:r>
              <w:t>Expedite communication and explore alternative options with Vendor A for critical component.</w:t>
            </w:r>
          </w:p>
        </w:tc>
      </w:tr>
      <w:tr>
        <w:trPr/>
        <w:tc>
          <w:tcPr>
            <w:vAlign w:val="center"/>
          </w:tcPr>
          <w:p>
            <w:pPr>
              <w:keepNext/>
              <w:jc w:val="left"/>
            </w:pPr>
            <w:r>
              <w:t>Technical Lead</w:t>
            </w:r>
          </w:p>
        </w:tc>
        <w:tc>
          <w:tcPr>
            <w:vAlign w:val="center"/>
          </w:tcPr>
          <w:p>
            <w:pPr>
              <w:keepNext/>
              <w:jc w:val="left"/>
            </w:pPr>
            <w:r>
              <w:t>January 18, 2026</w:t>
            </w:r>
          </w:p>
        </w:tc>
        <w:tc>
          <w:tcPr>
            <w:vAlign w:val="center"/>
          </w:tcPr>
          <w:p>
            <w:pPr>
              <w:keepNext/>
              <w:jc w:val="left"/>
            </w:pPr>
            <w:r>
              <w:t>Open</w:t>
            </w:r>
          </w:p>
        </w:tc>
        <w:tc>
          <w:tcPr>
            <w:vAlign w:val="center"/>
          </w:tcPr>
          <w:p>
            <w:pPr>
              <w:keepNext/>
              <w:jc w:val="left"/>
            </w:pPr>
            <w:r>
              <w:t>Resolve environment instability issues for the integration platform.</w:t>
            </w:r>
          </w:p>
        </w:tc>
      </w:tr>
    </w:tbl>
    <w:p>
      <w:pPr>
        <w:pStyle w:val="Heading3"/>
      </w:pPr>
      <w:r>
        <w:t>Open Risks:</w:t>
      </w:r>
    </w:p>
    <w:p>
      <w:r>
        <w:t>Critical vendor component delay, continued integration environment readiness issues.</w:t>
      </w:r>
    </w:p>
    <w:p>
      <w:pPr>
        <w:pStyle w:val="Heading3"/>
      </w:pPr>
      <w:r>
        <w:t>Dependencies:</w:t>
      </w:r>
    </w:p>
    <w:p>
      <w:r>
        <w:t>The Build phase is dependent on stable requirements and a functional environment. Vendor Delivery is critically dependent on Vendor A's supply chain.</w:t>
      </w:r>
    </w:p>
    <w:p>
      <w:pPr>
        <w:pStyle w:val="Heading3"/>
      </w:pPr>
      <w:r>
        <w:t>Explicit Trigger Phrases:</w:t>
      </w:r>
    </w:p>
    <w:p>
      <w:r>
        <w:t>dependency delay, vendor delivery delay, environment instability, milestone at risk</w:t>
      </w:r>
    </w:p>
    <w:p>
      <w:pPr>
        <w:pStyle w:val="Heading2"/>
      </w:pPr>
      <w:r>
        <w:t>Meeting ID: PMN-20260122-003</w:t>
      </w:r>
    </w:p>
    <w:p>
      <w:pPr>
        <w:pStyle w:val="Heading3"/>
      </w:pPr>
      <w:r>
        <w:t>Meeting Date: January 22, 2026</w:t>
      </w:r>
    </w:p>
    <w:p>
      <w:pPr>
        <w:pStyle w:val="Heading3"/>
      </w:pPr>
      <w:r>
        <w:t>Meeting Type: Critical Path Review</w:t>
      </w:r>
    </w:p>
    <w:p>
      <w:pPr>
        <w:pStyle w:val="Heading3"/>
      </w:pPr>
      <w:r>
        <w:t>Objective: Review Integration and Test readiness, evaluate overall schedule impact.</w:t>
      </w:r>
    </w:p>
    <w:p>
      <w:pPr>
        <w:pStyle w:val="Heading3"/>
      </w:pPr>
      <w:r>
        <w:t>Attendees: Project Manager, Technical Lead, QA Lead, Operations Lead, Vendor Representatives</w:t>
      </w:r>
    </w:p>
    <w:p>
      <w:pPr>
        <w:pStyle w:val="Heading3"/>
      </w:pPr>
      <w:r>
        <w:t>Schedule Status:</w:t>
      </w:r>
    </w:p>
    <w:p>
      <w:r>
        <w:t>The Build phase is now estimated to complete on January 21, 2026. Vendor Delivery is anticipated on January 23, 2026. The Integration and Test phase (baseline Jan 20–27, 2026) is now estimated to run from January 26–February 2, 2026. This represents a significant 'critical path impact' and a severe 'milestone at risk' situation for the Production Signoff Milestone (baseline Jan 30, 2026). Our 'schedule confidence reduced' dramatically due to these accumulated delays. This schedule alignment is sourced from the user's uploaded artifact</w:t>
      </w:r>
    </w:p>
    <w:p>
      <w:r>
        <w:t>compact_schedule_slip_fixture.txt</w:t>
      </w:r>
    </w:p>
    <w:p>
      <w:r>
        <w:t>.</w:t>
      </w:r>
    </w:p>
    <w:p>
      <w:pPr>
        <w:pStyle w:val="Heading3"/>
      </w:pPr>
      <w:r>
        <w:t>Milestones at Risk: Production Signoff Milestone (baseline Jan 30, 2026)</w:t>
      </w:r>
    </w:p>
    <w:p>
      <w:pPr>
        <w:pStyle w:val="Heading3"/>
      </w:pPr>
      <w:r>
        <w:t>Trigger Indicators:</w:t>
      </w:r>
    </w:p>
    <w:p>
      <w:r>
        <w:t>A high volume of critical defects has been reported during early integration builds, causing a significant 'defect backlog increasing'. Key approvals required for provisioning the production deployment infrastructure are still 'approval pending'. Furthermore, a critical 'action item slipped' for Vendor B regarding required documentation for compliance.</w:t>
      </w:r>
    </w:p>
    <w:p>
      <w:pPr>
        <w:pStyle w:val="Heading3"/>
      </w:pPr>
      <w:r>
        <w:t>Decisions:</w:t>
      </w:r>
    </w:p>
    <w:p>
      <w:r>
        <w:t>Prioritize all critical path defects. Escalate infrastructure approval process.</w:t>
      </w:r>
    </w:p>
    <w:p>
      <w:pPr>
        <w:pStyle w:val="Heading3"/>
      </w:pPr>
      <w:r>
        <w:t>Action Items:</w:t>
      </w:r>
    </w:p>
    <w:tbl>
      <w:tblPr>
        <w:tblStyle w:val="TableGrid"/>
        <w:tblW w:w="0" w:type="auto"/>
        <w:tblBorders>
          <w:top w:val="single" w:sz="4"/>
          <w:left w:val="single" w:sz="4"/>
          <w:bottom w:val="single" w:sz="4"/>
          <w:right w:val="single" w:sz="4"/>
          <w:insideH w:val="single" w:sz="4"/>
          <w:insideV w:val="single" w:sz="4"/>
        </w:tblBorders>
      </w:tblPr>
      <w:tblGrid>
        <w:gridCol/>
        <w:gridCol/>
        <w:gridCol/>
        <w:gridCol/>
      </w:tblGrid>
      <w:tr>
        <w:trPr/>
        <w:tc>
          <w:tcPr>
            <w:vAlign w:val="center"/>
          </w:tcPr>
          <w:p>
            <w:pPr>
              <w:keepNext/>
              <w:jc w:val="left"/>
            </w:pPr>
            <w:r>
              <w:t>Owner</w:t>
            </w:r>
          </w:p>
        </w:tc>
        <w:tc>
          <w:tcPr>
            <w:vAlign w:val="center"/>
          </w:tcPr>
          <w:p>
            <w:pPr>
              <w:keepNext/>
              <w:jc w:val="left"/>
            </w:pPr>
            <w:r>
              <w:t>Due Date</w:t>
            </w:r>
          </w:p>
        </w:tc>
        <w:tc>
          <w:tcPr>
            <w:vAlign w:val="center"/>
          </w:tcPr>
          <w:p>
            <w:pPr>
              <w:keepNext/>
              <w:jc w:val="left"/>
            </w:pPr>
            <w:r>
              <w:t>Status</w:t>
            </w:r>
          </w:p>
        </w:tc>
        <w:tc>
          <w:tcPr>
            <w:vAlign w:val="center"/>
          </w:tcPr>
          <w:p>
            <w:pPr>
              <w:keepNext/>
              <w:jc w:val="left"/>
            </w:pPr>
            <w:r>
              <w:t>Description</w:t>
            </w:r>
          </w:p>
        </w:tc>
      </w:tr>
      <w:tr>
        <w:trPr/>
        <w:tc>
          <w:tcPr>
            <w:vAlign w:val="center"/>
          </w:tcPr>
          <w:p>
            <w:pPr>
              <w:keepNext/>
              <w:jc w:val="left"/>
            </w:pPr>
            <w:r>
              <w:t>QA Lead</w:t>
            </w:r>
          </w:p>
        </w:tc>
        <w:tc>
          <w:tcPr>
            <w:vAlign w:val="center"/>
          </w:tcPr>
          <w:p>
            <w:pPr>
              <w:keepNext/>
              <w:jc w:val="left"/>
            </w:pPr>
            <w:r>
              <w:t>January 24, 2026</w:t>
            </w:r>
          </w:p>
        </w:tc>
        <w:tc>
          <w:tcPr>
            <w:vAlign w:val="center"/>
          </w:tcPr>
          <w:p>
            <w:pPr>
              <w:keepNext/>
              <w:jc w:val="left"/>
            </w:pPr>
            <w:r>
              <w:t>Open</w:t>
            </w:r>
          </w:p>
        </w:tc>
        <w:tc>
          <w:tcPr>
            <w:vAlign w:val="center"/>
          </w:tcPr>
          <w:p>
            <w:pPr>
              <w:keepNext/>
              <w:jc w:val="left"/>
            </w:pPr>
            <w:r>
              <w:t>Prioritize and track resolution of all critical defects in the integration environment.</w:t>
            </w:r>
          </w:p>
        </w:tc>
      </w:tr>
      <w:tr>
        <w:trPr/>
        <w:tc>
          <w:tcPr>
            <w:vAlign w:val="center"/>
          </w:tcPr>
          <w:p>
            <w:pPr>
              <w:keepNext/>
              <w:jc w:val="left"/>
            </w:pPr>
            <w:r>
              <w:t>Operations Lead</w:t>
            </w:r>
          </w:p>
        </w:tc>
        <w:tc>
          <w:tcPr>
            <w:vAlign w:val="center"/>
          </w:tcPr>
          <w:p>
            <w:pPr>
              <w:keepNext/>
              <w:jc w:val="left"/>
            </w:pPr>
            <w:r>
              <w:t>January 23, 2026</w:t>
            </w:r>
          </w:p>
        </w:tc>
        <w:tc>
          <w:tcPr>
            <w:vAlign w:val="center"/>
          </w:tcPr>
          <w:p>
            <w:pPr>
              <w:keepNext/>
              <w:jc w:val="left"/>
            </w:pPr>
            <w:r>
              <w:t>Open</w:t>
            </w:r>
          </w:p>
        </w:tc>
        <w:tc>
          <w:tcPr>
            <w:vAlign w:val="center"/>
          </w:tcPr>
          <w:p>
            <w:pPr>
              <w:keepNext/>
              <w:jc w:val="left"/>
            </w:pPr>
            <w:r>
              <w:t>Follow up and escalate final infrastructure approvals.</w:t>
            </w:r>
          </w:p>
        </w:tc>
      </w:tr>
    </w:tbl>
    <w:p>
      <w:pPr>
        <w:pStyle w:val="Heading3"/>
      </w:pPr>
      <w:r>
        <w:t>Open Risks:</w:t>
      </w:r>
    </w:p>
    <w:p>
      <w:r>
        <w:t>Unresolved critical defects, continued delays in infrastructure approval, potential further vendor documentation delays.</w:t>
      </w:r>
    </w:p>
    <w:p>
      <w:pPr>
        <w:pStyle w:val="Heading3"/>
      </w:pPr>
      <w:r>
        <w:t>Dependencies:</w:t>
      </w:r>
    </w:p>
    <w:p>
      <w:r>
        <w:t>Integration and Test is dependent on completed builds and vendor deliveries. Production deployment is dependent on timely infrastructure approvals.</w:t>
      </w:r>
    </w:p>
    <w:p>
      <w:pPr>
        <w:pStyle w:val="Heading3"/>
      </w:pPr>
      <w:r>
        <w:t>Explicit Trigger Phrases:</w:t>
      </w:r>
    </w:p>
    <w:p>
      <w:r>
        <w:t>critical path impact, milestone at risk, schedule confidence reduced, defect backlog increasing, approval pending, action item slipped</w:t>
      </w:r>
    </w:p>
    <w:p>
      <w:pPr>
        <w:pStyle w:val="Heading2"/>
      </w:pPr>
      <w:r>
        <w:t>Meeting ID: PMN-20260203-004</w:t>
      </w:r>
    </w:p>
    <w:p>
      <w:pPr>
        <w:pStyle w:val="Heading3"/>
      </w:pPr>
      <w:r>
        <w:t>Meeting Date: February 3, 2026</w:t>
      </w:r>
    </w:p>
    <w:p>
      <w:pPr>
        <w:pStyle w:val="Heading3"/>
      </w:pPr>
      <w:r>
        <w:t>Meeting Type: Final Readiness Review</w:t>
      </w:r>
    </w:p>
    <w:p>
      <w:pPr>
        <w:pStyle w:val="Heading3"/>
      </w:pPr>
      <w:r>
        <w:t>Objective: Final assessment of readiness for Production Signoff.</w:t>
      </w:r>
    </w:p>
    <w:p>
      <w:pPr>
        <w:pStyle w:val="Heading3"/>
      </w:pPr>
      <w:r>
        <w:t>Attendees: Project Manager, Technical Lead, QA Lead, Business Lead, Compliance Officer</w:t>
      </w:r>
    </w:p>
    <w:p>
      <w:pPr>
        <w:pStyle w:val="Heading3"/>
      </w:pPr>
      <w:r>
        <w:t>Schedule Status:</w:t>
      </w:r>
    </w:p>
    <w:p>
      <w:r>
        <w:t>The Integration and Test phase was completed on February 2, 2026. The Readiness review, originally baseline Jan 28–30, 2026, is now scheduled for February 3–5, 2026. The Production Signoff Milestone, originally baseline January 30, 2026, has officially slipped. The new target date for Production Signoff is now confirmed as February 6, 2026. This confirms the 'critical path impact' and the 'target date at risk' has materialized. Overall 'schedule confidence reduced' to low before the revised plan. This schedule alignment is sourced from the user's uploaded artifact</w:t>
      </w:r>
    </w:p>
    <w:p>
      <w:r>
        <w:t>compact_schedule_slip_fixture.txt</w:t>
      </w:r>
    </w:p>
    <w:p>
      <w:r>
        <w:t>.</w:t>
      </w:r>
    </w:p>
    <w:p>
      <w:pPr>
        <w:pStyle w:val="Heading3"/>
      </w:pPr>
      <w:r>
        <w:t>Milestones at Risk: Production Signoff Milestone (now confirmed slipped to Feb 6, 2026)</w:t>
      </w:r>
    </w:p>
    <w:p>
      <w:pPr>
        <w:pStyle w:val="Heading3"/>
      </w:pPr>
      <w:r>
        <w:t>Trigger Indicators:</w:t>
      </w:r>
    </w:p>
    <w:p>
      <w:r>
        <w:t>Final quality checks are still revealing late-stage issues in specific modules, indicating a slight 'defect backlog increasing' again. Several critical 'approval pending' items for compliance and legal sign-off are still outstanding.</w:t>
      </w:r>
    </w:p>
    <w:p>
      <w:pPr>
        <w:pStyle w:val="Heading3"/>
      </w:pPr>
      <w:r>
        <w:t>Decisions:</w:t>
      </w:r>
    </w:p>
    <w:p>
      <w:r>
        <w:t>The Production Signoff Milestone is formally moved to February 6, 2026, 5:00 PM. A final Go/No-Go meeting will be held on that date.</w:t>
      </w:r>
    </w:p>
    <w:p>
      <w:pPr>
        <w:pStyle w:val="Heading3"/>
      </w:pPr>
      <w:r>
        <w:t>Action Items:</w:t>
      </w:r>
    </w:p>
    <w:tbl>
      <w:tblPr>
        <w:tblStyle w:val="TableGrid"/>
        <w:tblW w:w="0" w:type="auto"/>
        <w:tblBorders>
          <w:top w:val="single" w:sz="4"/>
          <w:left w:val="single" w:sz="4"/>
          <w:bottom w:val="single" w:sz="4"/>
          <w:right w:val="single" w:sz="4"/>
          <w:insideH w:val="single" w:sz="4"/>
          <w:insideV w:val="single" w:sz="4"/>
        </w:tblBorders>
      </w:tblPr>
      <w:tblGrid>
        <w:gridCol/>
        <w:gridCol/>
        <w:gridCol/>
        <w:gridCol/>
      </w:tblGrid>
      <w:tr>
        <w:trPr/>
        <w:tc>
          <w:tcPr>
            <w:vAlign w:val="center"/>
          </w:tcPr>
          <w:p>
            <w:pPr>
              <w:keepNext/>
              <w:jc w:val="left"/>
            </w:pPr>
            <w:r>
              <w:t>Owner</w:t>
            </w:r>
          </w:p>
        </w:tc>
        <w:tc>
          <w:tcPr>
            <w:vAlign w:val="center"/>
          </w:tcPr>
          <w:p>
            <w:pPr>
              <w:keepNext/>
              <w:jc w:val="left"/>
            </w:pPr>
            <w:r>
              <w:t>Due Date</w:t>
            </w:r>
          </w:p>
        </w:tc>
        <w:tc>
          <w:tcPr>
            <w:vAlign w:val="center"/>
          </w:tcPr>
          <w:p>
            <w:pPr>
              <w:keepNext/>
              <w:jc w:val="left"/>
            </w:pPr>
            <w:r>
              <w:t>Status</w:t>
            </w:r>
          </w:p>
        </w:tc>
        <w:tc>
          <w:tcPr>
            <w:vAlign w:val="center"/>
          </w:tcPr>
          <w:p>
            <w:pPr>
              <w:keepNext/>
              <w:jc w:val="left"/>
            </w:pPr>
            <w:r>
              <w:t>Description</w:t>
            </w:r>
          </w:p>
        </w:tc>
      </w:tr>
      <w:tr>
        <w:trPr/>
        <w:tc>
          <w:tcPr>
            <w:vAlign w:val="center"/>
          </w:tcPr>
          <w:p>
            <w:pPr>
              <w:keepNext/>
              <w:jc w:val="left"/>
            </w:pPr>
            <w:r>
              <w:t>QA Lead</w:t>
            </w:r>
          </w:p>
        </w:tc>
        <w:tc>
          <w:tcPr>
            <w:vAlign w:val="center"/>
          </w:tcPr>
          <w:p>
            <w:pPr>
              <w:keepNext/>
              <w:jc w:val="left"/>
            </w:pPr>
            <w:r>
              <w:t>February 4, 2026</w:t>
            </w:r>
          </w:p>
        </w:tc>
        <w:tc>
          <w:tcPr>
            <w:vAlign w:val="center"/>
          </w:tcPr>
          <w:p>
            <w:pPr>
              <w:keepNext/>
              <w:jc w:val="left"/>
            </w:pPr>
            <w:r>
              <w:t>Open</w:t>
            </w:r>
          </w:p>
        </w:tc>
        <w:tc>
          <w:tcPr>
            <w:vAlign w:val="center"/>
          </w:tcPr>
          <w:p>
            <w:pPr>
              <w:keepNext/>
              <w:jc w:val="left"/>
            </w:pPr>
            <w:r>
              <w:t>Resolve all remaining critical defects identified during final testing.</w:t>
            </w:r>
          </w:p>
        </w:tc>
      </w:tr>
      <w:tr>
        <w:trPr/>
        <w:tc>
          <w:tcPr>
            <w:vAlign w:val="center"/>
          </w:tcPr>
          <w:p>
            <w:pPr>
              <w:keepNext/>
              <w:jc w:val="left"/>
            </w:pPr>
            <w:r>
              <w:t>Compliance Lead</w:t>
            </w:r>
          </w:p>
        </w:tc>
        <w:tc>
          <w:tcPr>
            <w:vAlign w:val="center"/>
          </w:tcPr>
          <w:p>
            <w:pPr>
              <w:keepNext/>
              <w:jc w:val="left"/>
            </w:pPr>
            <w:r>
              <w:t>February 5, 2026</w:t>
            </w:r>
          </w:p>
        </w:tc>
        <w:tc>
          <w:tcPr>
            <w:vAlign w:val="center"/>
          </w:tcPr>
          <w:p>
            <w:pPr>
              <w:keepNext/>
              <w:jc w:val="left"/>
            </w:pPr>
            <w:r>
              <w:t>Open</w:t>
            </w:r>
          </w:p>
        </w:tc>
        <w:tc>
          <w:tcPr>
            <w:vAlign w:val="center"/>
          </w:tcPr>
          <w:p>
            <w:pPr>
              <w:keepNext/>
              <w:jc w:val="left"/>
            </w:pPr>
            <w:r>
              <w:t>Secure all outstanding final compliance and legal approvals.</w:t>
            </w:r>
          </w:p>
        </w:tc>
      </w:tr>
    </w:tbl>
    <w:p>
      <w:pPr>
        <w:pStyle w:val="Heading3"/>
      </w:pPr>
      <w:r>
        <w:t>Open Risks:</w:t>
      </w:r>
    </w:p>
    <w:p>
      <w:r>
        <w:t>Potential for last-minute blocking defects, final compliance approval challenges.</w:t>
      </w:r>
    </w:p>
    <w:p>
      <w:pPr>
        <w:pStyle w:val="Heading3"/>
      </w:pPr>
      <w:r>
        <w:t>Dependencies:</w:t>
      </w:r>
    </w:p>
    <w:p>
      <w:r>
        <w:t>Final signoff is dependent on the resolution of all critical items and securing necessary approvals.</w:t>
      </w:r>
    </w:p>
    <w:p>
      <w:pPr>
        <w:pStyle w:val="Heading3"/>
      </w:pPr>
      <w:r>
        <w:t>Explicit Trigger Phrases:</w:t>
      </w:r>
    </w:p>
    <w:p>
      <w:r>
        <w:t>critical path impact, target date at risk, schedule confidence reduced, defect backlog increasing, approval pending</w:t>
      </w:r>
    </w:p>
    <w:p>
      <w:pPr>
        <w:pStyle w:val="Heading2"/>
      </w:pPr>
      <w:r>
        <w:t>Meeting ID: PMN-20260206-005</w:t>
      </w:r>
    </w:p>
    <w:p>
      <w:pPr>
        <w:pStyle w:val="Heading3"/>
      </w:pPr>
      <w:r>
        <w:t>Meeting Date: February 6, 2026</w:t>
      </w:r>
    </w:p>
    <w:p>
      <w:pPr>
        <w:pStyle w:val="Heading3"/>
      </w:pPr>
      <w:r>
        <w:t>Meeting Type: Production Signoff / Go-No-Go Meeting</w:t>
      </w:r>
    </w:p>
    <w:p>
      <w:pPr>
        <w:pStyle w:val="Heading3"/>
      </w:pPr>
      <w:r>
        <w:t>Objective: Final Go/No-Go decision for Production deployment and formal Production Signoff.</w:t>
      </w:r>
    </w:p>
    <w:p>
      <w:pPr>
        <w:pStyle w:val="Heading3"/>
      </w:pPr>
      <w:r>
        <w:t>Attendees: Project Manager, Technical Lead, QA Lead, Business Lead, Operations Lead, Compliance Officer</w:t>
      </w:r>
    </w:p>
    <w:p>
      <w:pPr>
        <w:pStyle w:val="Heading3"/>
      </w:pPr>
      <w:r>
        <w:t>Schedule Status:</w:t>
      </w:r>
    </w:p>
    <w:p>
      <w:r>
        <w:t>All preceding milestones and tasks have been completed as per the current revised and slipped schedule. The Production Signoff Milestone is scheduled for today, February 6, 2026, at 5:00 PM. The final project finish is also February 6, 2026, at 5:00 PM. This schedule alignment is sourced from the user's uploaded artifact</w:t>
      </w:r>
    </w:p>
    <w:p>
      <w:r>
        <w:t>compact_schedule_slip_fixture.txt</w:t>
      </w:r>
    </w:p>
    <w:p>
      <w:r>
        <w:t>. All prior 'target date at risk' and 'milestone at risk' triggers have been addressed. The earlier 'schedule confidence reduced' has been restored for go-live. There is no remaining 'critical path impact' to the go-live decision.</w:t>
      </w:r>
    </w:p>
    <w:p>
      <w:pPr>
        <w:pStyle w:val="Heading3"/>
      </w:pPr>
      <w:r>
        <w:t>Milestones at Risk: None. Decision point is now.</w:t>
      </w:r>
    </w:p>
    <w:p>
      <w:pPr>
        <w:pStyle w:val="Heading3"/>
      </w:pPr>
      <w:r>
        <w:t>Trigger Indicators:</w:t>
      </w:r>
    </w:p>
    <w:p>
      <w:r>
        <w:t>All identified issues resolved. There is no critical 'defect backlog increasing'. All 'approval pending' items cleared. No 'dependency delay' remaining that impacts the final go-live.</w:t>
      </w:r>
    </w:p>
    <w:p>
      <w:pPr>
        <w:pStyle w:val="Heading3"/>
      </w:pPr>
      <w:r>
        <w:t>Decisions:</w:t>
      </w:r>
    </w:p>
    <w:p>
      <w:r>
        <w:rPr>
          <w:b/>
        </w:rPr>
        <w:t>GO</w:t>
      </w:r>
      <w:r>
        <w:t xml:space="preserve"> </w:t>
      </w:r>
      <w:r>
        <w:t>for production deployment. Production Signoff is formally confirmed.</w:t>
      </w:r>
    </w:p>
    <w:p>
      <w:pPr>
        <w:pStyle w:val="Heading3"/>
      </w:pPr>
      <w:r>
        <w:t>Action Items:</w:t>
      </w:r>
    </w:p>
    <w:tbl>
      <w:tblPr>
        <w:tblStyle w:val="TableGrid"/>
        <w:tblW w:w="0" w:type="auto"/>
        <w:tblBorders>
          <w:top w:val="single" w:sz="4"/>
          <w:left w:val="single" w:sz="4"/>
          <w:bottom w:val="single" w:sz="4"/>
          <w:right w:val="single" w:sz="4"/>
          <w:insideH w:val="single" w:sz="4"/>
          <w:insideV w:val="single" w:sz="4"/>
        </w:tblBorders>
      </w:tblPr>
      <w:tblGrid>
        <w:gridCol/>
        <w:gridCol/>
        <w:gridCol/>
        <w:gridCol/>
      </w:tblGrid>
      <w:tr>
        <w:trPr/>
        <w:tc>
          <w:tcPr>
            <w:vAlign w:val="center"/>
          </w:tcPr>
          <w:p>
            <w:pPr>
              <w:keepNext/>
              <w:jc w:val="left"/>
            </w:pPr>
            <w:r>
              <w:t>Owner</w:t>
            </w:r>
          </w:p>
        </w:tc>
        <w:tc>
          <w:tcPr>
            <w:vAlign w:val="center"/>
          </w:tcPr>
          <w:p>
            <w:pPr>
              <w:keepNext/>
              <w:jc w:val="left"/>
            </w:pPr>
            <w:r>
              <w:t>Due Date</w:t>
            </w:r>
          </w:p>
        </w:tc>
        <w:tc>
          <w:tcPr>
            <w:vAlign w:val="center"/>
          </w:tcPr>
          <w:p>
            <w:pPr>
              <w:keepNext/>
              <w:jc w:val="left"/>
            </w:pPr>
            <w:r>
              <w:t>Status</w:t>
            </w:r>
          </w:p>
        </w:tc>
        <w:tc>
          <w:tcPr>
            <w:vAlign w:val="center"/>
          </w:tcPr>
          <w:p>
            <w:pPr>
              <w:keepNext/>
              <w:jc w:val="left"/>
            </w:pPr>
            <w:r>
              <w:t>Description</w:t>
            </w:r>
          </w:p>
        </w:tc>
      </w:tr>
      <w:tr>
        <w:trPr/>
        <w:tc>
          <w:tcPr>
            <w:vAlign w:val="center"/>
          </w:tcPr>
          <w:p>
            <w:pPr>
              <w:keepNext/>
              <w:jc w:val="left"/>
            </w:pPr>
            <w:r>
              <w:t>Project Manager</w:t>
            </w:r>
          </w:p>
        </w:tc>
        <w:tc>
          <w:tcPr>
            <w:vAlign w:val="center"/>
          </w:tcPr>
          <w:p>
            <w:pPr>
              <w:keepNext/>
              <w:jc w:val="left"/>
            </w:pPr>
            <w:r>
              <w:t>February 7, 2026</w:t>
            </w:r>
          </w:p>
        </w:tc>
        <w:tc>
          <w:tcPr>
            <w:vAlign w:val="center"/>
          </w:tcPr>
          <w:p>
            <w:pPr>
              <w:keepNext/>
              <w:jc w:val="left"/>
            </w:pPr>
            <w:r>
              <w:t>Open</w:t>
            </w:r>
          </w:p>
        </w:tc>
        <w:tc>
          <w:tcPr>
            <w:vAlign w:val="center"/>
          </w:tcPr>
          <w:p>
            <w:pPr>
              <w:keepNext/>
              <w:jc w:val="left"/>
            </w:pPr>
            <w:r>
              <w:t>Formal handover of project deliverables to Operations team.</w:t>
            </w:r>
          </w:p>
        </w:tc>
      </w:tr>
      <w:tr>
        <w:trPr/>
        <w:tc>
          <w:tcPr>
            <w:vAlign w:val="center"/>
          </w:tcPr>
          <w:p>
            <w:pPr>
              <w:keepNext/>
              <w:jc w:val="left"/>
            </w:pPr>
            <w:r>
              <w:t>Project Manager</w:t>
            </w:r>
          </w:p>
        </w:tc>
        <w:tc>
          <w:tcPr>
            <w:vAlign w:val="center"/>
          </w:tcPr>
          <w:p>
            <w:pPr>
              <w:keepNext/>
              <w:jc w:val="left"/>
            </w:pPr>
            <w:r>
              <w:t>February 14, 2026</w:t>
            </w:r>
          </w:p>
        </w:tc>
        <w:tc>
          <w:tcPr>
            <w:vAlign w:val="center"/>
          </w:tcPr>
          <w:p>
            <w:pPr>
              <w:keepNext/>
              <w:jc w:val="left"/>
            </w:pPr>
            <w:r>
              <w:t>Open</w:t>
            </w:r>
          </w:p>
        </w:tc>
        <w:tc>
          <w:tcPr>
            <w:vAlign w:val="center"/>
          </w:tcPr>
          <w:p>
            <w:pPr>
              <w:keepNext/>
              <w:jc w:val="left"/>
            </w:pPr>
            <w:r>
              <w:t>Initiate and complete project closure activities and documentation.</w:t>
            </w:r>
          </w:p>
        </w:tc>
      </w:tr>
    </w:tbl>
    <w:p>
      <w:pPr>
        <w:pStyle w:val="Heading3"/>
      </w:pPr>
      <w:r>
        <w:t>Open Risks:</w:t>
      </w:r>
    </w:p>
    <w:p>
      <w:r>
        <w:t>Post-deployment monitoring for stability and performance.</w:t>
      </w:r>
    </w:p>
    <w:p>
      <w:pPr>
        <w:pStyle w:val="Heading3"/>
      </w:pPr>
      <w:r>
        <w:t>Dependencies:</w:t>
      </w:r>
    </w:p>
    <w:p>
      <w:r>
        <w:t>None directly impacting the GO decision at this point.</w:t>
      </w:r>
    </w:p>
    <w:p>
      <w:pPr>
        <w:pStyle w:val="Heading3"/>
      </w:pPr>
      <w:r>
        <w:t>Explicit Trigger Phrases:</w:t>
      </w:r>
    </w:p>
    <w:p>
      <w:r>
        <w:t>(Absence of negative triggers indicates successful mitigation and completion.) The project was at 'target date at risk' and 'milestone at risk' but successful mitigation led to today's signoff.</w:t>
      </w:r>
    </w:p>
    <w:p>
      <w:pPr>
        <w:pStyle w:val="Heading2"/>
      </w:pPr>
      <w:r>
        <w:t>Trigger Phrase Glossary</w:t>
      </w:r>
    </w:p>
    <w:p>
      <w:r>
        <w:t>This section lists the explicit trigger phrases used throughout these synthetic meeting notes for automated detection of schedule and risk indicators.</w:t>
      </w:r>
    </w:p>
    <w:p>
      <w:pPr>
        <w:pStyle w:val="ListParagraph"/>
        <w:numPr>
          <w:ilvl w:val="0"/>
          <w:numId w:val="4"/>
        </w:numPr>
      </w:pPr>
      <w:r>
        <w:t>milestone at risk</w:t>
      </w:r>
    </w:p>
    <w:p>
      <w:pPr>
        <w:pStyle w:val="ListParagraph"/>
        <w:numPr>
          <w:ilvl w:val="0"/>
          <w:numId w:val="4"/>
        </w:numPr>
      </w:pPr>
      <w:r>
        <w:t>dependency delay</w:t>
      </w:r>
    </w:p>
    <w:p>
      <w:pPr>
        <w:pStyle w:val="ListParagraph"/>
        <w:numPr>
          <w:ilvl w:val="0"/>
          <w:numId w:val="4"/>
        </w:numPr>
      </w:pPr>
      <w:r>
        <w:t>vendor delivery delay</w:t>
      </w:r>
    </w:p>
    <w:p>
      <w:pPr>
        <w:pStyle w:val="ListParagraph"/>
        <w:numPr>
          <w:ilvl w:val="0"/>
          <w:numId w:val="4"/>
        </w:numPr>
      </w:pPr>
      <w:r>
        <w:t>requirements not stable</w:t>
      </w:r>
    </w:p>
    <w:p>
      <w:pPr>
        <w:pStyle w:val="ListParagraph"/>
        <w:numPr>
          <w:ilvl w:val="0"/>
          <w:numId w:val="4"/>
        </w:numPr>
      </w:pPr>
      <w:r>
        <w:t>defect backlog increasing</w:t>
      </w:r>
    </w:p>
    <w:p>
      <w:pPr>
        <w:pStyle w:val="ListParagraph"/>
        <w:numPr>
          <w:ilvl w:val="0"/>
          <w:numId w:val="4"/>
        </w:numPr>
      </w:pPr>
      <w:r>
        <w:t>environment instability</w:t>
      </w:r>
    </w:p>
    <w:p>
      <w:pPr>
        <w:pStyle w:val="ListParagraph"/>
        <w:numPr>
          <w:ilvl w:val="0"/>
          <w:numId w:val="4"/>
        </w:numPr>
      </w:pPr>
      <w:r>
        <w:t>approval pending</w:t>
      </w:r>
    </w:p>
    <w:p>
      <w:pPr>
        <w:pStyle w:val="ListParagraph"/>
        <w:numPr>
          <w:ilvl w:val="0"/>
          <w:numId w:val="4"/>
        </w:numPr>
      </w:pPr>
      <w:r>
        <w:t>action item slipped</w:t>
      </w:r>
    </w:p>
    <w:p>
      <w:pPr>
        <w:pStyle w:val="ListParagraph"/>
        <w:numPr>
          <w:ilvl w:val="0"/>
          <w:numId w:val="4"/>
        </w:numPr>
      </w:pPr>
      <w:r>
        <w:t>schedule confidence reduced</w:t>
      </w:r>
    </w:p>
    <w:p>
      <w:pPr>
        <w:pStyle w:val="ListParagraph"/>
        <w:numPr>
          <w:ilvl w:val="0"/>
          <w:numId w:val="4"/>
        </w:numPr>
      </w:pPr>
      <w:r>
        <w:t>critical path impact</w:t>
      </w:r>
    </w:p>
    <w:p>
      <w:pPr>
        <w:pStyle w:val="ListParagraph"/>
        <w:numPr>
          <w:ilvl w:val="0"/>
          <w:numId w:val="4"/>
        </w:numPr>
      </w:pPr>
      <w:r>
        <w:t>target date at risk</w:t>
      </w:r>
    </w:p>
  </w:body>
</w:document>
</file>

<file path=word/numbering.xml><?xml version="1.0" encoding="utf-8"?>
<w:numbering xmlns:w="http://schemas.openxmlformats.org/wordprocessingml/2006/main">
  <w:abstractNum w:abstractNumId="1">
    <w:multiLevelType w:val="hybridMultilevel"/>
    <w:name w:val="disc"/>
    <w:lvl w:ilvl="0">
      <w:start w:val="1"/>
      <w:numFmt w:val="bullet"/>
      <w:lvlText w:val="•"/>
      <w:lvlJc w:val="left"/>
      <w:pPr>
        <w:ind w:left="360" w:hanging="360"/>
      </w:pPr>
    </w:lvl>
    <w:lvl w:ilvl="1">
      <w:start w:val="1"/>
      <w:numFmt w:val="bullet"/>
      <w:lvlText w:val="•"/>
      <w:lvlJc w:val="left"/>
      <w:pPr>
        <w:ind w:left="360" w:hanging="360"/>
      </w:pPr>
    </w:lvl>
    <w:lvl w:ilvl="2">
      <w:start w:val="1"/>
      <w:numFmt w:val="bullet"/>
      <w:lvlText w:val="•"/>
      <w:lvlJc w:val="left"/>
      <w:pPr>
        <w:ind w:left="360" w:hanging="360"/>
      </w:pPr>
    </w:lvl>
    <w:lvl w:ilvl="3">
      <w:start w:val="1"/>
      <w:numFmt w:val="bullet"/>
      <w:lvlText w:val="•"/>
      <w:lvlJc w:val="left"/>
      <w:pPr>
        <w:ind w:left="360" w:hanging="360"/>
      </w:pPr>
    </w:lvl>
    <w:lvl w:ilvl="4">
      <w:start w:val="1"/>
      <w:numFmt w:val="bullet"/>
      <w:lvlText w:val="•"/>
      <w:lvlJc w:val="left"/>
      <w:pPr>
        <w:ind w:left="360" w:hanging="360"/>
      </w:pPr>
    </w:lvl>
    <w:lvl w:ilvl="5">
      <w:start w:val="1"/>
      <w:numFmt w:val="bullet"/>
      <w:lvlText w:val="•"/>
      <w:lvlJc w:val="left"/>
      <w:pPr>
        <w:ind w:left="360" w:hanging="360"/>
      </w:pPr>
    </w:lvl>
    <w:lvl w:ilvl="6">
      <w:start w:val="1"/>
      <w:numFmt w:val="bullet"/>
      <w:lvlText w:val="•"/>
      <w:lvlJc w:val="left"/>
      <w:pPr>
        <w:ind w:left="360" w:hanging="360"/>
      </w:pPr>
    </w:lvl>
    <w:lvl w:ilvl="7">
      <w:start w:val="1"/>
      <w:numFmt w:val="bullet"/>
      <w:lvlText w:val="•"/>
      <w:lvlJc w:val="left"/>
      <w:pPr>
        <w:ind w:left="360" w:hanging="360"/>
      </w:pPr>
    </w:lvl>
    <w:lvl w:ilvl="8">
      <w:start w:val="1"/>
      <w:numFmt w:val="bullet"/>
      <w:lvlText w:val="•"/>
      <w:lvlJc w:val="left"/>
      <w:pPr>
        <w:ind w:left="360" w:hanging="360"/>
      </w:pPr>
    </w:lvl>
  </w:abstract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bering>
</file>

<file path=word/styles.xml><?xml version="1.0" encoding="utf-8"?>
<w:styles xmlns:w="http://schemas.openxmlformats.org/wordprocessingml/2006/main">
  <w:style xmlns:w="http://schemas.openxmlformats.org/wordprocessingml/2006/main" w:type="paragraph" w:styleId="Heading1">
    <w:name w:val="heading 1"/>
    <w:basedOn w:val="Normal"/>
    <w:next w:val="Normal"/>
    <w:link w:val="Heading1Char"/>
    <w:qFormat/>
    <w:pPr>
      <w:keepNext/>
      <w:keepLines/>
      <w:spacing w:before="480" w:after="0"/>
      <w:outlineLvl w:val="0"/>
    </w:pPr>
    <w:rPr>
      <w:rFonts w:asciiTheme="majorHAnsi" w:hAnsiTheme="majorHAnsi" w:eastAsiaTheme="majorEastAsia" w:cstheme="majorBidi"/>
      <w:b/>
      <w:bCs/>
      <w:color w:val="2E74B5" w:themeColor="accent1" w:themeShade="BF"/>
      <w:sz w:val="28"/>
      <w:szCs w:val="28"/>
    </w:rPr>
  </w:style>
  <w:style xmlns:w="http://schemas.openxmlformats.org/wordprocessingml/2006/main" w:type="paragraph" w:styleId="Heading2">
    <w:name w:val="heading 2"/>
    <w:basedOn w:val="Normal"/>
    <w:next w:val="Normal"/>
    <w:link w:val="Heading2Char"/>
    <w:unhideWhenUsed/>
    <w:qFormat/>
    <w:pPr>
      <w:keepNext/>
      <w:keepLines/>
      <w:spacing w:before="200" w:after="0"/>
      <w:outlineLvl w:val="1"/>
    </w:pPr>
    <w:rPr>
      <w:rFonts w:asciiTheme="majorHAnsi" w:hAnsiTheme="majorHAnsi" w:eastAsiaTheme="majorEastAsia" w:cstheme="majorBidi"/>
      <w:b/>
      <w:bCs/>
      <w:color w:val="5B9BD5" w:themeColor="accent1"/>
      <w:sz w:val="26"/>
      <w:szCs w:val="26"/>
    </w:rPr>
  </w:style>
  <w:style xmlns:w="http://schemas.openxmlformats.org/wordprocessingml/2006/main" w:type="paragraph" w:styleId="ListParagraph">
    <w:name w:val="List Paragraph"/>
    <w:basedOn w:val="Normal"/>
    <w:qFormat/>
    <w:pPr>
      <w:ind w:start="720"/>
      <w:contextualSpacing/>
    </w:pPr>
  </w:style>
  <w:style xmlns:w="http://schemas.openxmlformats.org/wordprocessingml/2006/main" w:type="paragraph" w:styleId="Heading3">
    <w:name w:val="heading 3"/>
    <w:basedOn w:val="Normal"/>
    <w:next w:val="Normal"/>
    <w:link w:val="Heading3Char"/>
    <w:unhideWhenUsed/>
    <w:qFormat/>
    <w:pPr>
      <w:keepNext/>
      <w:keepLines/>
      <w:spacing w:before="200" w:after="0"/>
      <w:outlineLvl w:val="2"/>
    </w:pPr>
    <w:rPr>
      <w:rFonts w:asciiTheme="majorHAnsi" w:hAnsiTheme="majorHAnsi" w:eastAsiaTheme="majorEastAsia" w:cstheme="majorBidi"/>
      <w:b/>
      <w:bCs/>
      <w:color w:val="5B9BD5" w:themeColor="accent1"/>
    </w:rPr>
  </w:style>
  <w:style xmlns:w="http://schemas.openxmlformats.org/wordprocessingml/2006/main" w:type="table" w:styleId="TableGrid">
    <w:name w:val="Table Grid"/>
    <w:basedOn w:val="TableNormal"/>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word/styles.xml" Id="Rb2de830880a84b85" /><Relationship Type="http://schemas.openxmlformats.org/officeDocument/2006/relationships/numbering" Target="/word/numbering.xml" Id="R654c638d53394987" /></Relationships>
</file>