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Arial" w:hAnsi="Arial"/>
          <w:b/>
          <w:color w:val="0F2137"/>
          <w:sz w:val="32"/>
        </w:rPr>
        <w:t>Executive Readiness Gateway: Startup Readiness Checklist (G-01) &amp; Gate Decision</w:t>
      </w:r>
    </w:p>
    <w:p>
      <w:pPr>
        <w:spacing w:after="120"/>
      </w:pPr>
      <w:r>
        <w:rPr>
          <w:rFonts w:ascii="Arial" w:hAnsi="Arial"/>
          <w:sz w:val="19"/>
        </w:rPr>
        <w:t>Under the PMO No-Mobilize / No-Kickoff governance rule (WR-03), no project may transition into Mobilize or conduct kickoffs without G-01 gate sign-off or an authorized exception. This front-loaded gateway establishes delivery assurance, evaluates quantitative readiness, verifies segregation of duties, and baselines controls across all Section 4 artifacts.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0F2137"/>
                <w:sz w:val="22"/>
              </w:rPr>
              <w:t>G-01 READINESS GATE DECISION: REWORK REQUIRED</w:t>
              <w:br/>
            </w:r>
            <w:r>
              <w:rPr>
                <w:rFonts w:ascii="Arial" w:hAnsi="Arial"/>
                <w:color w:val="1E293B"/>
                <w:sz w:val="18"/>
              </w:rPr>
              <w:t>Startup Readiness Score: 29.8% — NOT READY / REWORK REQUIRED (Red)</w:t>
              <w:br/>
              <w:t>Score Breakdown: Controls: 63.3% | Acceptance Rigor: 0.0% | Staffing: 0.0% | Commercial/Risk: 30.0%</w:t>
              <w:br/>
              <w:br/>
              <w:t>• Author / Drafter: [UNASSIGNED - TO BE CONFIRMED] (PMO Lead)</w:t>
              <w:br/>
              <w:t>• Independent Reviewers: [UNASSIGNED - TO BE CONFIRMED], Technical Lead</w:t>
              <w:br/>
              <w:t>• Approval Authority: [UNASSIGNED - TO BE CONFIRMED]</w:t>
              <w:br/>
              <w:t>• 1-Day Creation SLA Status: Met (Drafted within 1 business day)</w:t>
              <w:br/>
              <w:t>• Role Segregation: Segregation Warning</w:t>
              <w:br/>
              <w:t>• Open Exceptions: 6 | Open Clarifications: 6</w:t>
              <w:br/>
              <w:t>• Workflow State: Clarification Pending</w:t>
              <w:br/>
              <w:t>• Decision Comments: Readiness baseline verified against Section 4 requirements. 6 exceptions noted; open validation items flagged for Mobilize kickoff.</w:t>
              <w:br/>
              <w:t>• Exception Note: Baseline drafted within 1 day; pending minor client confirmations (Authority: PMO Lead)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Startup Readiness Checklist Table (G-01)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00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Gate ID</w:t>
            </w:r>
          </w:p>
        </w:tc>
        <w:tc>
          <w:tcPr>
            <w:tcW w:type="dxa" w:w="288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Gate Criterion</w:t>
            </w:r>
          </w:p>
        </w:tc>
        <w:tc>
          <w:tcPr>
            <w:tcW w:type="dxa" w:w="201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Related Section 4 Artifact</w:t>
            </w:r>
          </w:p>
        </w:tc>
        <w:tc>
          <w:tcPr>
            <w:tcW w:type="dxa" w:w="158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9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29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Reviewer</w:t>
            </w:r>
          </w:p>
        </w:tc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Approver</w:t>
            </w:r>
          </w:p>
        </w:tc>
        <w:tc>
          <w:tcPr>
            <w:tcW w:type="dxa" w:w="230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Evidence &amp; Exceptions</w:t>
            </w:r>
          </w:p>
        </w:tc>
      </w:tr>
      <w:tr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G01-01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Startup Kit created within 1 day of delivery handoff (SLA)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Project Startup Charter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Complete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Startup Kit drafted on 2026-09-30 (Project awarded 2026-09-29). SLA Met.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G01-02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Governance tier assigned and cadence established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Project Startup Charter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Complete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Governance Tier confirmed as 'Partnered' with reporting cadence.</w:t>
            </w:r>
          </w:p>
        </w:tc>
      </w:tr>
      <w:tr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G01-03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Deliverables mapped to owners with explicit acceptance routes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Deliverables and Acceptance Matrix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Review Required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1 deliverables mapped to acceptance routes and evidence expectations.</w:t>
              <w:br/>
              <w:t xml:space="preserve">[EXCEPTION: Unstated acceptance criteria or unassigned owners flagged for client confirmation.]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[ACT-01]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G01-04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Milestone delivery plan with external dates and internal buffers committed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Milestone Delivery Plan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Confirmation Required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1 milestones mapped with external dates and internal buffer calculations.</w:t>
              <w:br/>
              <w:t xml:space="preserve">[EXCEPTION: Uncommitted milestone dates require client confirmation.]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[ACT-02]</w:t>
            </w:r>
          </w:p>
        </w:tc>
      </w:tr>
      <w:tr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G01-05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Risks, Assumptions, Issues, and Dependencies seeded and owned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RAID Log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Review Required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1 RAID items and 0 dependencies/assumptions baselined.</w:t>
              <w:br/>
              <w:t xml:space="preserve">[EXCEPTION: RAID log items or dependencies pending owner assignment.]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[ACT-03]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G01-06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Talent PM and DM briefed on governance cadence and KO decks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Talent Onboarding Record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In Progress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Talent onboarding walkthrough session mapped against Section 4 artifacts.</w:t>
              <w:br/>
              <w:t xml:space="preserve">[EXCEPTION: Talent PM / Delivery Manager onboarding briefing pending.]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[ACT-04]</w:t>
            </w:r>
          </w:p>
        </w:tc>
      </w:tr>
      <w:tr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G01-07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Client onboarding dependencies and prerequisites mapped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SOW Interpretation Summary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Complete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Customer obligations (3) and prerequisites documented.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G01-08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Talent roster staffed with named leads and delivery talent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Talent Onboarding Record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In Progress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3 delivery talent roles listed; 0 named</w:t>
              <w:br/>
              <w:t xml:space="preserve">[EXCEPTION: Talent roster staffing in progress.]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[ACT-05]</w:t>
            </w:r>
          </w:p>
        </w:tc>
      </w:tr>
      <w:tr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G01-09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Client sponsor and decision escalation path identified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Stakeholder and Responsibility Model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Review Required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5 key stakeholder roles (including PMO Lead &amp; Director) and escalation paths identified.</w:t>
              <w:br/>
              <w:t xml:space="preserve">[EXCEPTION: Client sponsor and decision escalation path pending confirmation.]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[ACT-06]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G01-10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RACI and PMO decision rights matrix baselined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RACI / Decision Rights Matrix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Complete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Standard PMO decision rights and AR-10 accountability model baselined.</w:t>
            </w:r>
          </w:p>
        </w:tc>
      </w:tr>
      <w:tr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G01-11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Communications and reporting plan cadence defined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Communications and Reporting Plan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Complete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Weekly Check-in (30 min), Weekly Project Status Report (PSR), Monthly / Quarterly Business Review (MBR/QBR - G-07)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G01-12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Commercial guardrails and margin protections established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Commercial and Margin Guardrails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Complete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Commercial controls and work-at-risk rules defined for Time and Materials.</w:t>
            </w:r>
          </w:p>
        </w:tc>
      </w:tr>
      <w:tr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G01-13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Change control procedure and written sign-off route defined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Change Control Procedure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Complete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Formal Change Order route and threshold rules configured.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G01-14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Contractual ambiguities and conflicts logged with risk-impact mitigations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Contract Ambiguity &amp; Conflict Analysis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Complete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No contractual ambiguities logged.</w:t>
            </w:r>
          </w:p>
        </w:tc>
      </w:tr>
      <w:tr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G01-15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Unresolved ambiguities and open questions listed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Startup Readiness Checklist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Review Required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[UNASSIGNED - TO BE CONFIRMED]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Director, PMO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 xml:space="preserve">6 validation points logged for mobilization confirmation. </w:t>
            </w:r>
            <w:r>
              <w:rPr>
                <w:rFonts w:ascii="Arial" w:hAnsi="Arial"/>
                <w:b/>
                <w:color w:val="0F172A"/>
                <w:sz w:val="18"/>
                <w:highlight w:val="yellow"/>
              </w:rPr>
              <w:t>[ACT-09]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Commercial and Margin Guardrails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Commercial Guardrail Area</w:t>
            </w:r>
          </w:p>
        </w:tc>
        <w:tc>
          <w:tcPr>
            <w:tcW w:type="dxa" w:w="489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Contract Policy &amp; Governance Rules</w:t>
            </w:r>
          </w:p>
        </w:tc>
        <w:tc>
          <w:tcPr>
            <w:tcW w:type="dxa" w:w="316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Governance Ownership &amp; Route</w:t>
            </w:r>
          </w:p>
        </w:tc>
        <w:tc>
          <w:tcPr>
            <w:tcW w:type="dxa" w:w="2304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Baseline Target / Threshold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Contract Type Implications</w:t>
            </w:r>
          </w:p>
        </w:tc>
        <w:tc>
          <w:tcPr>
            <w:tcW w:type="dxa" w:w="48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Time and Materials contract: Emphasizes burn visibility, weekly timesheet oversight, staffing allocation efficiency, and customer dependency tracking.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Contract Model: Time and Materials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Billing or Consumption Assumptions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Weekly timesheet approval and hourly/daily burn rate tracking against budget cap.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Delivery Manager / Talent PM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Periodic Invoicing / Burn Tracking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Staffing Assumptions &amp; Commercial Exposure</w:t>
            </w:r>
          </w:p>
        </w:tc>
        <w:tc>
          <w:tcPr>
            <w:tcW w:type="dxa" w:w="48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Dedicated talent staffing as agreed; rate card billing per active role.</w:t>
              <w:br/>
              <w:t>• Commercial Exposure: Client dependency delays must be logged immediately to prevent unfunded team standby burn.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Talent PM / Delivery Manager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Roster Locked &amp; Rate Realization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Approved &amp; Non-Approved Work Rules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• Approved Work: Work executed according to prioritized backlog agreed in weekly check-ins.</w:t>
              <w:br/>
              <w:t>• Non-Approved Work: Tasks exceeding agreed monthly burn ceiling require client written authorization.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Delivery Manager / PMO Lead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Zero Out-of-Scope Execution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Work-at-Risk Rules (PMO Lead owned)</w:t>
            </w:r>
          </w:p>
        </w:tc>
        <w:tc>
          <w:tcPr>
            <w:tcW w:type="dxa" w:w="48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Work-at-risk requires PMO Lead confirmation if PO or budget ceiling is exhausted.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(Exclusive Sign-off Authority)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Pre-Approval / Exception Required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Change Control Triggers &amp; Change Order Route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• Triggers: Budget burndown exceeding forecast by &gt;10% or scope change requiring talent roster adjustments.</w:t>
              <w:br/>
              <w:t>• Route: PMO Lead leads -&gt; DM aligns client -&gt; Client approves -&gt; Contracting issues change order.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leads → DM aligns client → Client approves → Contracting issues change order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Variance &gt; 5% or Schedule Slip &gt; 3 Days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Budget vs. Actuals &amp; Variance Baseline</w:t>
            </w:r>
          </w:p>
        </w:tc>
        <w:tc>
          <w:tcPr>
            <w:tcW w:type="dxa" w:w="48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• Budget Baseline: [CONFIRMATION REQUIRED - T&amp;M BUDGET CAP]</w:t>
              <w:br/>
              <w:t>• Variance Baseline: Green (&lt;5% variance)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Delivery Manager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Monthly Budget &amp; Burn Audit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Margin Risk Indicators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Margin Risk Level: Low — Labor rate realization, unbilled delivery effort, and milestone buffers tracked continuously.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PMO Lead / Commercial Lead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Active Margin Protection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Internal Escalation Thresholds</w:t>
            </w:r>
          </w:p>
        </w:tc>
        <w:tc>
          <w:tcPr>
            <w:tcW w:type="dxa" w:w="48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Burn rate variance &gt; 10% or client dependency blocker &gt; 2 days.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Delivery Manager → PMO Lead → Director, PMO → VP, Delivery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Immediate Escalation (&lt;24h SLA)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Actionable Questions &amp; Open Clarifications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 ID</w:t>
            </w:r>
          </w:p>
        </w:tc>
        <w:tc>
          <w:tcPr>
            <w:tcW w:type="dxa" w:w="633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Actionable Clarification Question</w:t>
            </w:r>
          </w:p>
        </w:tc>
        <w:tc>
          <w:tcPr>
            <w:tcW w:type="dxa" w:w="288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Stakeholder / Focus Area</w:t>
            </w:r>
          </w:p>
        </w:tc>
        <w:tc>
          <w:tcPr>
            <w:tcW w:type="dxa" w:w="2016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Q-01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Deliverable 'D1: API Gateway' is missing explicit acceptance criteria. [CONFIRMATION REQUIRED]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Client Approver / Talent PM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Open - Confirmation Required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Q-02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Deliverable 'D1: API Gateway' owner is unassigned. [CONFIRMATION REQUIRED]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Client Sponsor / Delivery Team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Open - Confirmation Required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Q-03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Confirm committed external completion date for M1. [CONFIRMATION REQUIRED]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Delivery Manager / Client Sponsor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Open - Confirmation Required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Q-04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Delivery Manager role is unassigned. [CONFIRMATION REQUIRED]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Talent PM / Delivery Manager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Open - Confirmation Required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Q-05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Talent PM role is unassigned. [CONFIRMATION REQUIRED]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Talent PM / Delivery Manager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Open - Confirmation Required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Q-06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8"/>
              </w:rPr>
            </w:r>
            <w:r>
              <w:rPr>
                <w:rFonts w:ascii="Arial" w:hAnsi="Arial"/>
                <w:color w:val="0F172A"/>
                <w:sz w:val="18"/>
              </w:rPr>
              <w:t>PMO Lead role is unassigned. [CONFIRMATION REQUIRED]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Talent PM / Delivery Manager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Open - Confirmation Required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6"/>
        </w:rPr>
        <w:t>Contract Ambiguities &amp; Conflicts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Anomaly ID</w:t>
            </w:r>
          </w:p>
        </w:tc>
        <w:tc>
          <w:tcPr>
            <w:tcW w:type="dxa" w:w="187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312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Conflicting Clauses / Citations</w:t>
            </w:r>
          </w:p>
        </w:tc>
        <w:tc>
          <w:tcPr>
            <w:tcW w:type="dxa" w:w="2880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Risk &amp; Margin Impact</w:t>
            </w:r>
          </w:p>
        </w:tc>
        <w:tc>
          <w:tcPr>
            <w:tcW w:type="dxa" w:w="244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Recommended Clarification</w:t>
            </w:r>
          </w:p>
        </w:tc>
        <w:tc>
          <w:tcPr>
            <w:tcW w:type="dxa" w:w="1008"/>
            <w:shd w:fill="0F213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AMB-01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Scope Clarity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All baseline scope terms, milestones, and deliverable commitments verified against Section 4 governance standards.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Low — No contractual ambiguity or clause contradiction identified.</w:t>
            </w:r>
          </w:p>
        </w:tc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Proceed with standard Mobilize kickoff and milestone cadence.</w:t>
            </w:r>
          </w:p>
        </w:tc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Resolved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