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58B7" w14:textId="77777777" w:rsidR="0088507D" w:rsidRPr="00B54B6E" w:rsidRDefault="00000000">
      <w:pPr>
        <w:pStyle w:val="Title"/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>ERS – Especificación de requisitos de software</w:t>
      </w:r>
    </w:p>
    <w:p w14:paraId="4635407E" w14:textId="77777777" w:rsidR="0088507D" w:rsidRPr="00B54B6E" w:rsidRDefault="00000000">
      <w:pPr>
        <w:pStyle w:val="Subtitle"/>
        <w:rPr>
          <w:rFonts w:ascii="Arial" w:hAnsi="Arial" w:cs="Arial"/>
          <w:i w:val="0"/>
          <w:iCs w:val="0"/>
          <w:lang w:val="es-MX"/>
        </w:rPr>
      </w:pPr>
      <w:r w:rsidRPr="00B54B6E">
        <w:rPr>
          <w:rFonts w:ascii="Arial" w:hAnsi="Arial" w:cs="Arial"/>
          <w:i w:val="0"/>
          <w:iCs w:val="0"/>
          <w:lang w:val="es-MX"/>
        </w:rPr>
        <w:t>Requisitos funcionales, no funcionales y reglas de negocio</w:t>
      </w:r>
    </w:p>
    <w:p w14:paraId="03F7FDB7" w14:textId="77777777" w:rsidR="0088507D" w:rsidRPr="00B54B6E" w:rsidRDefault="00000000">
      <w:pPr>
        <w:rPr>
          <w:rFonts w:ascii="Arial" w:hAnsi="Arial" w:cs="Arial"/>
          <w:lang w:val="es-MX"/>
        </w:rPr>
      </w:pPr>
      <w:proofErr w:type="spellStart"/>
      <w:r w:rsidRPr="00B54B6E">
        <w:rPr>
          <w:rFonts w:ascii="Arial" w:hAnsi="Arial" w:cs="Arial"/>
          <w:lang w:val="es-MX"/>
        </w:rPr>
        <w:t>VialNex</w:t>
      </w:r>
      <w:proofErr w:type="spellEnd"/>
      <w:r w:rsidRPr="00B54B6E">
        <w:rPr>
          <w:rFonts w:ascii="Arial" w:hAnsi="Arial" w:cs="Arial"/>
          <w:lang w:val="es-MX"/>
        </w:rPr>
        <w:t xml:space="preserve"> | Proyecto académico · Ingeniería en Informática · Duoc UC Plaza Norte</w:t>
      </w:r>
    </w:p>
    <w:p w14:paraId="5BCD0416" w14:textId="77777777" w:rsidR="0088507D" w:rsidRPr="00B54B6E" w:rsidRDefault="00000000">
      <w:pPr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>Versión de trabajo: 19 de octubre de 2026. Elaborado a partir de antecedentes compartidos del proyecto. Las secciones marcadas «Por validar» necesitan confirmación del equipo o de la pauta docente.</w:t>
      </w:r>
    </w:p>
    <w:p w14:paraId="63229915" w14:textId="77777777" w:rsidR="0088507D" w:rsidRPr="00B54B6E" w:rsidRDefault="00000000">
      <w:pPr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>Estado del documento: borrador académico sujeto a validación y aprobación.</w:t>
      </w:r>
    </w:p>
    <w:p w14:paraId="41579358" w14:textId="77777777" w:rsidR="0088507D" w:rsidRPr="00B54B6E" w:rsidRDefault="00000000">
      <w:pPr>
        <w:pStyle w:val="Heading1"/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>Propósito y actores</w:t>
      </w:r>
    </w:p>
    <w:p w14:paraId="57BC7334" w14:textId="77777777" w:rsidR="0088507D" w:rsidRPr="00B54B6E" w:rsidRDefault="00000000">
      <w:pPr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>Identificar requisitos trazables a historias de usuario. Actores identificados: administrador web, operador/despachador, personal de bodega, conductor y personal de soporte. La matriz de permisos exacta debe validarse contra API y pantallas actuales.</w:t>
      </w:r>
    </w:p>
    <w:p w14:paraId="739C82BB" w14:textId="77777777" w:rsidR="0088507D" w:rsidRPr="00B54B6E" w:rsidRDefault="00000000">
      <w:pPr>
        <w:pStyle w:val="Heading1"/>
        <w:rPr>
          <w:rFonts w:ascii="Arial" w:hAnsi="Arial" w:cs="Arial"/>
        </w:rPr>
      </w:pPr>
      <w:proofErr w:type="spellStart"/>
      <w:r w:rsidRPr="00B54B6E">
        <w:rPr>
          <w:rFonts w:ascii="Arial" w:hAnsi="Arial" w:cs="Arial"/>
        </w:rPr>
        <w:t>Requisitos</w:t>
      </w:r>
      <w:proofErr w:type="spellEnd"/>
      <w:r w:rsidRPr="00B54B6E">
        <w:rPr>
          <w:rFonts w:ascii="Arial" w:hAnsi="Arial" w:cs="Arial"/>
        </w:rPr>
        <w:t xml:space="preserve"> </w:t>
      </w:r>
      <w:proofErr w:type="spellStart"/>
      <w:r w:rsidRPr="00B54B6E">
        <w:rPr>
          <w:rFonts w:ascii="Arial" w:hAnsi="Arial" w:cs="Arial"/>
        </w:rPr>
        <w:t>funcionales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88507D" w:rsidRPr="00B54B6E" w14:paraId="4E51919B" w14:textId="77777777">
        <w:trPr>
          <w:jc w:val="center"/>
        </w:trPr>
        <w:tc>
          <w:tcPr>
            <w:tcW w:w="2448" w:type="dxa"/>
            <w:shd w:val="clear" w:color="auto" w:fill="17324D"/>
          </w:tcPr>
          <w:p w14:paraId="56502EE7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  <w:color w:val="FFFFFF"/>
              </w:rPr>
              <w:t>ID</w:t>
            </w:r>
          </w:p>
        </w:tc>
        <w:tc>
          <w:tcPr>
            <w:tcW w:w="2448" w:type="dxa"/>
            <w:shd w:val="clear" w:color="auto" w:fill="17324D"/>
          </w:tcPr>
          <w:p w14:paraId="5D242E35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  <w:color w:val="FFFFFF"/>
              </w:rPr>
              <w:t>Proceso</w:t>
            </w:r>
          </w:p>
        </w:tc>
        <w:tc>
          <w:tcPr>
            <w:tcW w:w="2448" w:type="dxa"/>
            <w:shd w:val="clear" w:color="auto" w:fill="17324D"/>
          </w:tcPr>
          <w:p w14:paraId="500D7C5F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  <w:color w:val="FFFFFF"/>
              </w:rPr>
              <w:t>Requisito</w:t>
            </w:r>
          </w:p>
        </w:tc>
        <w:tc>
          <w:tcPr>
            <w:tcW w:w="2448" w:type="dxa"/>
            <w:shd w:val="clear" w:color="auto" w:fill="17324D"/>
          </w:tcPr>
          <w:p w14:paraId="30692F8A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  <w:color w:val="FFFFFF"/>
              </w:rPr>
              <w:t>Trazabilidad</w:t>
            </w:r>
          </w:p>
        </w:tc>
      </w:tr>
      <w:tr w:rsidR="0088507D" w:rsidRPr="00B54B6E" w14:paraId="01069E39" w14:textId="77777777">
        <w:trPr>
          <w:jc w:val="center"/>
        </w:trPr>
        <w:tc>
          <w:tcPr>
            <w:tcW w:w="2448" w:type="dxa"/>
          </w:tcPr>
          <w:p w14:paraId="2A4BC44C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RF-01</w:t>
            </w:r>
          </w:p>
        </w:tc>
        <w:tc>
          <w:tcPr>
            <w:tcW w:w="2448" w:type="dxa"/>
          </w:tcPr>
          <w:p w14:paraId="37B65B0C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Autenticación</w:t>
            </w:r>
          </w:p>
        </w:tc>
        <w:tc>
          <w:tcPr>
            <w:tcW w:w="2448" w:type="dxa"/>
          </w:tcPr>
          <w:p w14:paraId="69CFA11E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Inicio de sesión, recuperación, primer acceso y cambio de contraseña</w:t>
            </w:r>
          </w:p>
        </w:tc>
        <w:tc>
          <w:tcPr>
            <w:tcW w:w="2448" w:type="dxa"/>
          </w:tcPr>
          <w:p w14:paraId="5D64D9DB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HU-ACC</w:t>
            </w:r>
          </w:p>
        </w:tc>
      </w:tr>
      <w:tr w:rsidR="0088507D" w:rsidRPr="00B54B6E" w14:paraId="159DDD41" w14:textId="77777777">
        <w:trPr>
          <w:jc w:val="center"/>
        </w:trPr>
        <w:tc>
          <w:tcPr>
            <w:tcW w:w="2448" w:type="dxa"/>
          </w:tcPr>
          <w:p w14:paraId="75F0A740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RF-02</w:t>
            </w:r>
          </w:p>
        </w:tc>
        <w:tc>
          <w:tcPr>
            <w:tcW w:w="2448" w:type="dxa"/>
          </w:tcPr>
          <w:p w14:paraId="2C4D4B72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Gestión de usuarios</w:t>
            </w:r>
          </w:p>
        </w:tc>
        <w:tc>
          <w:tcPr>
            <w:tcW w:w="2448" w:type="dxa"/>
          </w:tcPr>
          <w:p w14:paraId="2C5429E9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Alta, roles web/app, marcas, consultas, desactivación</w:t>
            </w:r>
          </w:p>
        </w:tc>
        <w:tc>
          <w:tcPr>
            <w:tcW w:w="2448" w:type="dxa"/>
          </w:tcPr>
          <w:p w14:paraId="33D88CC9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HU-USR</w:t>
            </w:r>
          </w:p>
        </w:tc>
      </w:tr>
      <w:tr w:rsidR="0088507D" w:rsidRPr="00B54B6E" w14:paraId="7F10DA32" w14:textId="77777777">
        <w:trPr>
          <w:jc w:val="center"/>
        </w:trPr>
        <w:tc>
          <w:tcPr>
            <w:tcW w:w="2448" w:type="dxa"/>
          </w:tcPr>
          <w:p w14:paraId="643DBF1B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RF-03</w:t>
            </w:r>
          </w:p>
        </w:tc>
        <w:tc>
          <w:tcPr>
            <w:tcW w:w="2448" w:type="dxa"/>
          </w:tcPr>
          <w:p w14:paraId="2FD96D5D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Ventas</w:t>
            </w:r>
          </w:p>
        </w:tc>
        <w:tc>
          <w:tcPr>
            <w:tcW w:w="2448" w:type="dxa"/>
          </w:tcPr>
          <w:p w14:paraId="43455A9B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Creación de venta con múltiples posiciones, medidas, peso, cantidades y totales</w:t>
            </w:r>
          </w:p>
        </w:tc>
        <w:tc>
          <w:tcPr>
            <w:tcW w:w="2448" w:type="dxa"/>
          </w:tcPr>
          <w:p w14:paraId="56B1D3A2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HU-VEN</w:t>
            </w:r>
          </w:p>
        </w:tc>
      </w:tr>
      <w:tr w:rsidR="0088507D" w:rsidRPr="00B54B6E" w14:paraId="5BCFAE09" w14:textId="77777777">
        <w:trPr>
          <w:jc w:val="center"/>
        </w:trPr>
        <w:tc>
          <w:tcPr>
            <w:tcW w:w="2448" w:type="dxa"/>
          </w:tcPr>
          <w:p w14:paraId="448FA307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RF-04</w:t>
            </w:r>
          </w:p>
        </w:tc>
        <w:tc>
          <w:tcPr>
            <w:tcW w:w="2448" w:type="dxa"/>
          </w:tcPr>
          <w:p w14:paraId="556E2EEA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Tarifas</w:t>
            </w:r>
          </w:p>
        </w:tc>
        <w:tc>
          <w:tcPr>
            <w:tcW w:w="2448" w:type="dxa"/>
          </w:tcPr>
          <w:p w14:paraId="7F0AAC02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Cálculo por tramo de bulto, zona/comuna y recargos</w:t>
            </w:r>
          </w:p>
        </w:tc>
        <w:tc>
          <w:tcPr>
            <w:tcW w:w="2448" w:type="dxa"/>
          </w:tcPr>
          <w:p w14:paraId="5775C33C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HU-VEN/HU-MAN</w:t>
            </w:r>
          </w:p>
        </w:tc>
      </w:tr>
      <w:tr w:rsidR="0088507D" w:rsidRPr="00B54B6E" w14:paraId="33783EA8" w14:textId="77777777">
        <w:trPr>
          <w:jc w:val="center"/>
        </w:trPr>
        <w:tc>
          <w:tcPr>
            <w:tcW w:w="2448" w:type="dxa"/>
          </w:tcPr>
          <w:p w14:paraId="495475EC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RF-05</w:t>
            </w:r>
          </w:p>
        </w:tc>
        <w:tc>
          <w:tcPr>
            <w:tcW w:w="2448" w:type="dxa"/>
          </w:tcPr>
          <w:p w14:paraId="483CB2BB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Órdenes</w:t>
            </w:r>
          </w:p>
        </w:tc>
        <w:tc>
          <w:tcPr>
            <w:tcW w:w="2448" w:type="dxa"/>
          </w:tcPr>
          <w:p w14:paraId="5BA17B29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Generación de OT desde ventas y administración de posiciones</w:t>
            </w:r>
          </w:p>
        </w:tc>
        <w:tc>
          <w:tcPr>
            <w:tcW w:w="2448" w:type="dxa"/>
          </w:tcPr>
          <w:p w14:paraId="5CFEBBD2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HU-ORD</w:t>
            </w:r>
          </w:p>
        </w:tc>
      </w:tr>
      <w:tr w:rsidR="0088507D" w:rsidRPr="00B54B6E" w14:paraId="23C3DCA5" w14:textId="77777777">
        <w:trPr>
          <w:jc w:val="center"/>
        </w:trPr>
        <w:tc>
          <w:tcPr>
            <w:tcW w:w="2448" w:type="dxa"/>
          </w:tcPr>
          <w:p w14:paraId="270884EE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RF-06</w:t>
            </w:r>
          </w:p>
        </w:tc>
        <w:tc>
          <w:tcPr>
            <w:tcW w:w="2448" w:type="dxa"/>
          </w:tcPr>
          <w:p w14:paraId="0CE06665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Bodega</w:t>
            </w:r>
          </w:p>
        </w:tc>
        <w:tc>
          <w:tcPr>
            <w:tcW w:w="2448" w:type="dxa"/>
          </w:tcPr>
          <w:p w14:paraId="17C4F28E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Consulta de órdenes, escaneo de bultos y confirmación de carga</w:t>
            </w:r>
          </w:p>
        </w:tc>
        <w:tc>
          <w:tcPr>
            <w:tcW w:w="2448" w:type="dxa"/>
          </w:tcPr>
          <w:p w14:paraId="7999FE76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HU-BOD</w:t>
            </w:r>
          </w:p>
        </w:tc>
      </w:tr>
      <w:tr w:rsidR="0088507D" w:rsidRPr="00B54B6E" w14:paraId="5A62B289" w14:textId="77777777">
        <w:trPr>
          <w:jc w:val="center"/>
        </w:trPr>
        <w:tc>
          <w:tcPr>
            <w:tcW w:w="2448" w:type="dxa"/>
          </w:tcPr>
          <w:p w14:paraId="2BF46F73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RF-07</w:t>
            </w:r>
          </w:p>
        </w:tc>
        <w:tc>
          <w:tcPr>
            <w:tcW w:w="2448" w:type="dxa"/>
          </w:tcPr>
          <w:p w14:paraId="5B644985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Excepciones</w:t>
            </w:r>
          </w:p>
        </w:tc>
        <w:tc>
          <w:tcPr>
            <w:tcW w:w="2448" w:type="dxa"/>
          </w:tcPr>
          <w:p w14:paraId="31655CBE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Faltante sin stock o daño; foto obligatoria en caso dañada</w:t>
            </w:r>
          </w:p>
        </w:tc>
        <w:tc>
          <w:tcPr>
            <w:tcW w:w="2448" w:type="dxa"/>
          </w:tcPr>
          <w:p w14:paraId="18A3AE4E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HU-BOD</w:t>
            </w:r>
          </w:p>
        </w:tc>
      </w:tr>
      <w:tr w:rsidR="0088507D" w:rsidRPr="00B54B6E" w14:paraId="22CB59B2" w14:textId="77777777">
        <w:trPr>
          <w:jc w:val="center"/>
        </w:trPr>
        <w:tc>
          <w:tcPr>
            <w:tcW w:w="2448" w:type="dxa"/>
          </w:tcPr>
          <w:p w14:paraId="1768278F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RF-08</w:t>
            </w:r>
          </w:p>
        </w:tc>
        <w:tc>
          <w:tcPr>
            <w:tcW w:w="2448" w:type="dxa"/>
          </w:tcPr>
          <w:p w14:paraId="11C2611C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Carga parcial</w:t>
            </w:r>
          </w:p>
        </w:tc>
        <w:tc>
          <w:tcPr>
            <w:tcW w:w="2448" w:type="dxa"/>
          </w:tcPr>
          <w:p w14:paraId="69141F93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Aceptar carga parcial y reflejar posiciones excluidas</w:t>
            </w:r>
          </w:p>
        </w:tc>
        <w:tc>
          <w:tcPr>
            <w:tcW w:w="2448" w:type="dxa"/>
          </w:tcPr>
          <w:p w14:paraId="440C3147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HU-BOD-004</w:t>
            </w:r>
          </w:p>
        </w:tc>
      </w:tr>
      <w:tr w:rsidR="0088507D" w:rsidRPr="00B54B6E" w14:paraId="6F5260F4" w14:textId="77777777">
        <w:trPr>
          <w:jc w:val="center"/>
        </w:trPr>
        <w:tc>
          <w:tcPr>
            <w:tcW w:w="2448" w:type="dxa"/>
          </w:tcPr>
          <w:p w14:paraId="6E3CC087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RF-09</w:t>
            </w:r>
          </w:p>
        </w:tc>
        <w:tc>
          <w:tcPr>
            <w:tcW w:w="2448" w:type="dxa"/>
          </w:tcPr>
          <w:p w14:paraId="2BB2E418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Rutas</w:t>
            </w:r>
          </w:p>
        </w:tc>
        <w:tc>
          <w:tcPr>
            <w:tcW w:w="2448" w:type="dxa"/>
          </w:tcPr>
          <w:p w14:paraId="08E539AC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Crear ruta, asignar y reasignar órdenes con trazabilidad</w:t>
            </w:r>
          </w:p>
        </w:tc>
        <w:tc>
          <w:tcPr>
            <w:tcW w:w="2448" w:type="dxa"/>
          </w:tcPr>
          <w:p w14:paraId="5CE243DD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HU-WEB-005</w:t>
            </w:r>
          </w:p>
        </w:tc>
      </w:tr>
      <w:tr w:rsidR="0088507D" w:rsidRPr="00B54B6E" w14:paraId="157CE95E" w14:textId="77777777">
        <w:trPr>
          <w:jc w:val="center"/>
        </w:trPr>
        <w:tc>
          <w:tcPr>
            <w:tcW w:w="2448" w:type="dxa"/>
          </w:tcPr>
          <w:p w14:paraId="465E7184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RF-10</w:t>
            </w:r>
          </w:p>
        </w:tc>
        <w:tc>
          <w:tcPr>
            <w:tcW w:w="2448" w:type="dxa"/>
          </w:tcPr>
          <w:p w14:paraId="3035BEFA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Monitoreo</w:t>
            </w:r>
          </w:p>
        </w:tc>
        <w:tc>
          <w:tcPr>
            <w:tcW w:w="2448" w:type="dxa"/>
          </w:tcPr>
          <w:p w14:paraId="18EC577C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Visualizar avance de órdenes y ubicación cuando haya datos confiables</w:t>
            </w:r>
          </w:p>
        </w:tc>
        <w:tc>
          <w:tcPr>
            <w:tcW w:w="2448" w:type="dxa"/>
          </w:tcPr>
          <w:p w14:paraId="3DE501A5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HU-MON</w:t>
            </w:r>
          </w:p>
        </w:tc>
      </w:tr>
      <w:tr w:rsidR="0088507D" w:rsidRPr="00B54B6E" w14:paraId="4FCAB25B" w14:textId="77777777">
        <w:trPr>
          <w:jc w:val="center"/>
        </w:trPr>
        <w:tc>
          <w:tcPr>
            <w:tcW w:w="2448" w:type="dxa"/>
          </w:tcPr>
          <w:p w14:paraId="74116721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lastRenderedPageBreak/>
              <w:t>RF-11</w:t>
            </w:r>
          </w:p>
        </w:tc>
        <w:tc>
          <w:tcPr>
            <w:tcW w:w="2448" w:type="dxa"/>
          </w:tcPr>
          <w:p w14:paraId="5AAE4EBA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Mantenedores</w:t>
            </w:r>
          </w:p>
        </w:tc>
        <w:tc>
          <w:tcPr>
            <w:tcW w:w="2448" w:type="dxa"/>
          </w:tcPr>
          <w:p w14:paraId="6C0F2B94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Clientes, flota, conductores y tarifas</w:t>
            </w:r>
          </w:p>
        </w:tc>
        <w:tc>
          <w:tcPr>
            <w:tcW w:w="2448" w:type="dxa"/>
          </w:tcPr>
          <w:p w14:paraId="1D07D031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HU-MAN</w:t>
            </w:r>
          </w:p>
        </w:tc>
      </w:tr>
      <w:tr w:rsidR="0088507D" w:rsidRPr="00B54B6E" w14:paraId="324058FF" w14:textId="77777777">
        <w:trPr>
          <w:jc w:val="center"/>
        </w:trPr>
        <w:tc>
          <w:tcPr>
            <w:tcW w:w="2448" w:type="dxa"/>
          </w:tcPr>
          <w:p w14:paraId="2E291CA2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RF-12</w:t>
            </w:r>
          </w:p>
        </w:tc>
        <w:tc>
          <w:tcPr>
            <w:tcW w:w="2448" w:type="dxa"/>
          </w:tcPr>
          <w:p w14:paraId="7A3C48F1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Reportes</w:t>
            </w:r>
          </w:p>
        </w:tc>
        <w:tc>
          <w:tcPr>
            <w:tcW w:w="2448" w:type="dxa"/>
          </w:tcPr>
          <w:p w14:paraId="75C73A70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Despachos, pendientes de facturación/cobranza</w:t>
            </w:r>
          </w:p>
        </w:tc>
        <w:tc>
          <w:tcPr>
            <w:tcW w:w="2448" w:type="dxa"/>
          </w:tcPr>
          <w:p w14:paraId="7719C24F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HU-REP</w:t>
            </w:r>
          </w:p>
        </w:tc>
      </w:tr>
      <w:tr w:rsidR="0088507D" w:rsidRPr="00B54B6E" w14:paraId="54179020" w14:textId="77777777">
        <w:trPr>
          <w:jc w:val="center"/>
        </w:trPr>
        <w:tc>
          <w:tcPr>
            <w:tcW w:w="2448" w:type="dxa"/>
          </w:tcPr>
          <w:p w14:paraId="69A2F1B2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RF-13</w:t>
            </w:r>
          </w:p>
        </w:tc>
        <w:tc>
          <w:tcPr>
            <w:tcW w:w="2448" w:type="dxa"/>
          </w:tcPr>
          <w:p w14:paraId="2B1F294F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Importación</w:t>
            </w:r>
          </w:p>
        </w:tc>
        <w:tc>
          <w:tcPr>
            <w:tcW w:w="2448" w:type="dxa"/>
          </w:tcPr>
          <w:p w14:paraId="658087E6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Importar ventas desde CSV/Excel y validar errores</w:t>
            </w:r>
          </w:p>
        </w:tc>
        <w:tc>
          <w:tcPr>
            <w:tcW w:w="2448" w:type="dxa"/>
          </w:tcPr>
          <w:p w14:paraId="0EEA7858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HU-VEN-002</w:t>
            </w:r>
          </w:p>
        </w:tc>
      </w:tr>
      <w:tr w:rsidR="0088507D" w:rsidRPr="00B54B6E" w14:paraId="5D7D17CB" w14:textId="77777777">
        <w:trPr>
          <w:jc w:val="center"/>
        </w:trPr>
        <w:tc>
          <w:tcPr>
            <w:tcW w:w="2448" w:type="dxa"/>
          </w:tcPr>
          <w:p w14:paraId="2700F265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RF-14</w:t>
            </w:r>
          </w:p>
        </w:tc>
        <w:tc>
          <w:tcPr>
            <w:tcW w:w="2448" w:type="dxa"/>
          </w:tcPr>
          <w:p w14:paraId="6A5FCD34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Notificaciones</w:t>
            </w:r>
          </w:p>
        </w:tc>
        <w:tc>
          <w:tcPr>
            <w:tcW w:w="2448" w:type="dxa"/>
          </w:tcPr>
          <w:p w14:paraId="78502CCA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Correos de cuenta y eventos de operación mediante integración SMTP/API</w:t>
            </w:r>
          </w:p>
        </w:tc>
        <w:tc>
          <w:tcPr>
            <w:tcW w:w="2448" w:type="dxa"/>
          </w:tcPr>
          <w:p w14:paraId="36D3269D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HU-ACC/HU-COR</w:t>
            </w:r>
          </w:p>
        </w:tc>
      </w:tr>
    </w:tbl>
    <w:p w14:paraId="2306C0E2" w14:textId="77777777" w:rsidR="0088507D" w:rsidRPr="00B54B6E" w:rsidRDefault="0088507D">
      <w:pPr>
        <w:rPr>
          <w:rFonts w:ascii="Arial" w:hAnsi="Arial" w:cs="Arial"/>
        </w:rPr>
      </w:pPr>
    </w:p>
    <w:p w14:paraId="5522546C" w14:textId="77777777" w:rsidR="0088507D" w:rsidRPr="00B54B6E" w:rsidRDefault="00000000">
      <w:pPr>
        <w:pStyle w:val="Heading1"/>
        <w:rPr>
          <w:rFonts w:ascii="Arial" w:hAnsi="Arial" w:cs="Arial"/>
        </w:rPr>
      </w:pPr>
      <w:r w:rsidRPr="00B54B6E">
        <w:rPr>
          <w:rFonts w:ascii="Arial" w:hAnsi="Arial" w:cs="Arial"/>
        </w:rPr>
        <w:t>Requisitos no funcionales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8507D" w:rsidRPr="00B54B6E" w14:paraId="488B6C8C" w14:textId="77777777">
        <w:trPr>
          <w:jc w:val="center"/>
        </w:trPr>
        <w:tc>
          <w:tcPr>
            <w:tcW w:w="3264" w:type="dxa"/>
            <w:shd w:val="clear" w:color="auto" w:fill="17324D"/>
          </w:tcPr>
          <w:p w14:paraId="210DA786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  <w:color w:val="FFFFFF"/>
              </w:rPr>
              <w:t>ID</w:t>
            </w:r>
          </w:p>
        </w:tc>
        <w:tc>
          <w:tcPr>
            <w:tcW w:w="3264" w:type="dxa"/>
            <w:shd w:val="clear" w:color="auto" w:fill="17324D"/>
          </w:tcPr>
          <w:p w14:paraId="23E095ED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  <w:color w:val="FFFFFF"/>
              </w:rPr>
              <w:t>Categoría</w:t>
            </w:r>
          </w:p>
        </w:tc>
        <w:tc>
          <w:tcPr>
            <w:tcW w:w="3264" w:type="dxa"/>
            <w:shd w:val="clear" w:color="auto" w:fill="17324D"/>
          </w:tcPr>
          <w:p w14:paraId="79E45B31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  <w:color w:val="FFFFFF"/>
              </w:rPr>
              <w:t>Criterio propuesto</w:t>
            </w:r>
          </w:p>
        </w:tc>
      </w:tr>
      <w:tr w:rsidR="0088507D" w:rsidRPr="00B54B6E" w14:paraId="56FF5F19" w14:textId="77777777">
        <w:trPr>
          <w:jc w:val="center"/>
        </w:trPr>
        <w:tc>
          <w:tcPr>
            <w:tcW w:w="3264" w:type="dxa"/>
          </w:tcPr>
          <w:p w14:paraId="27D0198B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RNF-01</w:t>
            </w:r>
          </w:p>
        </w:tc>
        <w:tc>
          <w:tcPr>
            <w:tcW w:w="3264" w:type="dxa"/>
          </w:tcPr>
          <w:p w14:paraId="7570A570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Seguridad</w:t>
            </w:r>
          </w:p>
        </w:tc>
        <w:tc>
          <w:tcPr>
            <w:tcW w:w="3264" w:type="dxa"/>
          </w:tcPr>
          <w:p w14:paraId="7D879F83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Hash de contraseñas, tokens temporales, RBAC, TLS en acceso público; revisar secretos.</w:t>
            </w:r>
          </w:p>
        </w:tc>
      </w:tr>
      <w:tr w:rsidR="0088507D" w:rsidRPr="00B54B6E" w14:paraId="7ACFA596" w14:textId="77777777">
        <w:trPr>
          <w:jc w:val="center"/>
        </w:trPr>
        <w:tc>
          <w:tcPr>
            <w:tcW w:w="3264" w:type="dxa"/>
          </w:tcPr>
          <w:p w14:paraId="1DF01B53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RNF-02</w:t>
            </w:r>
          </w:p>
        </w:tc>
        <w:tc>
          <w:tcPr>
            <w:tcW w:w="3264" w:type="dxa"/>
          </w:tcPr>
          <w:p w14:paraId="1F54FF71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Integridad</w:t>
            </w:r>
          </w:p>
        </w:tc>
        <w:tc>
          <w:tcPr>
            <w:tcW w:w="3264" w:type="dxa"/>
          </w:tcPr>
          <w:p w14:paraId="1AD8660C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Transacciones y restricciones PostgreSQL para evitar estados inválidos.</w:t>
            </w:r>
          </w:p>
        </w:tc>
      </w:tr>
      <w:tr w:rsidR="0088507D" w:rsidRPr="00B54B6E" w14:paraId="3F094E45" w14:textId="77777777">
        <w:trPr>
          <w:jc w:val="center"/>
        </w:trPr>
        <w:tc>
          <w:tcPr>
            <w:tcW w:w="3264" w:type="dxa"/>
          </w:tcPr>
          <w:p w14:paraId="0B10536C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RNF-03</w:t>
            </w:r>
          </w:p>
        </w:tc>
        <w:tc>
          <w:tcPr>
            <w:tcW w:w="3264" w:type="dxa"/>
          </w:tcPr>
          <w:p w14:paraId="0C5D0751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Usabilidad</w:t>
            </w:r>
          </w:p>
        </w:tc>
        <w:tc>
          <w:tcPr>
            <w:tcW w:w="3264" w:type="dxa"/>
          </w:tcPr>
          <w:p w14:paraId="67EE60ED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Mensajes de error comprensibles, formularios consistentes y navegación por roles.</w:t>
            </w:r>
          </w:p>
        </w:tc>
      </w:tr>
      <w:tr w:rsidR="0088507D" w:rsidRPr="00B54B6E" w14:paraId="29C2D63A" w14:textId="77777777">
        <w:trPr>
          <w:jc w:val="center"/>
        </w:trPr>
        <w:tc>
          <w:tcPr>
            <w:tcW w:w="3264" w:type="dxa"/>
          </w:tcPr>
          <w:p w14:paraId="630C95AA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RNF-04</w:t>
            </w:r>
          </w:p>
        </w:tc>
        <w:tc>
          <w:tcPr>
            <w:tcW w:w="3264" w:type="dxa"/>
          </w:tcPr>
          <w:p w14:paraId="74D68A79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Trazabilidad</w:t>
            </w:r>
          </w:p>
        </w:tc>
        <w:tc>
          <w:tcPr>
            <w:tcW w:w="3264" w:type="dxa"/>
          </w:tcPr>
          <w:p w14:paraId="658B3D7D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 xml:space="preserve">Registrar cambios de estado, operador y </w:t>
            </w:r>
            <w:proofErr w:type="spellStart"/>
            <w:r w:rsidRPr="00B54B6E">
              <w:rPr>
                <w:rFonts w:ascii="Arial" w:hAnsi="Arial" w:cs="Arial"/>
                <w:lang w:val="es-MX"/>
              </w:rPr>
              <w:t>timestamp</w:t>
            </w:r>
            <w:proofErr w:type="spellEnd"/>
            <w:r w:rsidRPr="00B54B6E">
              <w:rPr>
                <w:rFonts w:ascii="Arial" w:hAnsi="Arial" w:cs="Arial"/>
                <w:lang w:val="es-MX"/>
              </w:rPr>
              <w:t xml:space="preserve"> cuando aplique.</w:t>
            </w:r>
          </w:p>
        </w:tc>
      </w:tr>
      <w:tr w:rsidR="0088507D" w:rsidRPr="00B54B6E" w14:paraId="43EA9707" w14:textId="77777777">
        <w:trPr>
          <w:jc w:val="center"/>
        </w:trPr>
        <w:tc>
          <w:tcPr>
            <w:tcW w:w="3264" w:type="dxa"/>
          </w:tcPr>
          <w:p w14:paraId="32A1458A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RNF-05</w:t>
            </w:r>
          </w:p>
        </w:tc>
        <w:tc>
          <w:tcPr>
            <w:tcW w:w="3264" w:type="dxa"/>
          </w:tcPr>
          <w:p w14:paraId="6FF58A22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Respaldo</w:t>
            </w:r>
          </w:p>
        </w:tc>
        <w:tc>
          <w:tcPr>
            <w:tcW w:w="3264" w:type="dxa"/>
          </w:tcPr>
          <w:p w14:paraId="39C133BC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 xml:space="preserve">Política de </w:t>
            </w:r>
            <w:proofErr w:type="spellStart"/>
            <w:r w:rsidRPr="00B54B6E">
              <w:rPr>
                <w:rFonts w:ascii="Arial" w:hAnsi="Arial" w:cs="Arial"/>
                <w:lang w:val="es-MX"/>
              </w:rPr>
              <w:t>backup</w:t>
            </w:r>
            <w:proofErr w:type="spellEnd"/>
            <w:r w:rsidRPr="00B54B6E">
              <w:rPr>
                <w:rFonts w:ascii="Arial" w:hAnsi="Arial" w:cs="Arial"/>
                <w:lang w:val="es-MX"/>
              </w:rPr>
              <w:t xml:space="preserve"> y restauración verificable antes de operar datos reales.</w:t>
            </w:r>
          </w:p>
        </w:tc>
      </w:tr>
      <w:tr w:rsidR="0088507D" w:rsidRPr="00B54B6E" w14:paraId="5A69A9FA" w14:textId="77777777">
        <w:trPr>
          <w:jc w:val="center"/>
        </w:trPr>
        <w:tc>
          <w:tcPr>
            <w:tcW w:w="3264" w:type="dxa"/>
          </w:tcPr>
          <w:p w14:paraId="19B0B851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RNF-06</w:t>
            </w:r>
          </w:p>
        </w:tc>
        <w:tc>
          <w:tcPr>
            <w:tcW w:w="3264" w:type="dxa"/>
          </w:tcPr>
          <w:p w14:paraId="2B9BCDEC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Disponibilidad</w:t>
            </w:r>
          </w:p>
        </w:tc>
        <w:tc>
          <w:tcPr>
            <w:tcW w:w="3264" w:type="dxa"/>
          </w:tcPr>
          <w:p w14:paraId="1337B00D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Monitoreo de web, API, BD y túnel; objetivo de SLA por validar.</w:t>
            </w:r>
          </w:p>
        </w:tc>
      </w:tr>
      <w:tr w:rsidR="0088507D" w:rsidRPr="00B54B6E" w14:paraId="69B48CBF" w14:textId="77777777">
        <w:trPr>
          <w:jc w:val="center"/>
        </w:trPr>
        <w:tc>
          <w:tcPr>
            <w:tcW w:w="3264" w:type="dxa"/>
          </w:tcPr>
          <w:p w14:paraId="22AAD20F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RNF-07</w:t>
            </w:r>
          </w:p>
        </w:tc>
        <w:tc>
          <w:tcPr>
            <w:tcW w:w="3264" w:type="dxa"/>
          </w:tcPr>
          <w:p w14:paraId="0E49550E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Compatibilidad</w:t>
            </w:r>
          </w:p>
        </w:tc>
        <w:tc>
          <w:tcPr>
            <w:tcW w:w="3264" w:type="dxa"/>
          </w:tcPr>
          <w:p w14:paraId="2E50B821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 xml:space="preserve">Navegadores actuales y </w:t>
            </w:r>
            <w:proofErr w:type="gramStart"/>
            <w:r w:rsidRPr="00B54B6E">
              <w:rPr>
                <w:rFonts w:ascii="Arial" w:hAnsi="Arial" w:cs="Arial"/>
                <w:lang w:val="es-MX"/>
              </w:rPr>
              <w:t>app</w:t>
            </w:r>
            <w:proofErr w:type="gramEnd"/>
            <w:r w:rsidRPr="00B54B6E">
              <w:rPr>
                <w:rFonts w:ascii="Arial" w:hAnsi="Arial" w:cs="Arial"/>
                <w:lang w:val="es-MX"/>
              </w:rPr>
              <w:t xml:space="preserve"> móvil Expo/Android conforme proyecto.</w:t>
            </w:r>
          </w:p>
        </w:tc>
      </w:tr>
      <w:tr w:rsidR="0088507D" w:rsidRPr="00B54B6E" w14:paraId="65B53D20" w14:textId="77777777">
        <w:trPr>
          <w:jc w:val="center"/>
        </w:trPr>
        <w:tc>
          <w:tcPr>
            <w:tcW w:w="3264" w:type="dxa"/>
          </w:tcPr>
          <w:p w14:paraId="4E887585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RNF-08</w:t>
            </w:r>
          </w:p>
        </w:tc>
        <w:tc>
          <w:tcPr>
            <w:tcW w:w="3264" w:type="dxa"/>
          </w:tcPr>
          <w:p w14:paraId="64114C00" w14:textId="77777777" w:rsidR="0088507D" w:rsidRPr="00B54B6E" w:rsidRDefault="00000000">
            <w:pPr>
              <w:rPr>
                <w:rFonts w:ascii="Arial" w:hAnsi="Arial" w:cs="Arial"/>
              </w:rPr>
            </w:pPr>
            <w:r w:rsidRPr="00B54B6E">
              <w:rPr>
                <w:rFonts w:ascii="Arial" w:hAnsi="Arial" w:cs="Arial"/>
              </w:rPr>
              <w:t>Privacidad</w:t>
            </w:r>
          </w:p>
        </w:tc>
        <w:tc>
          <w:tcPr>
            <w:tcW w:w="3264" w:type="dxa"/>
          </w:tcPr>
          <w:p w14:paraId="069D904B" w14:textId="77777777" w:rsidR="0088507D" w:rsidRPr="00B54B6E" w:rsidRDefault="00000000">
            <w:pPr>
              <w:rPr>
                <w:rFonts w:ascii="Arial" w:hAnsi="Arial" w:cs="Arial"/>
                <w:lang w:val="es-MX"/>
              </w:rPr>
            </w:pPr>
            <w:r w:rsidRPr="00B54B6E">
              <w:rPr>
                <w:rFonts w:ascii="Arial" w:hAnsi="Arial" w:cs="Arial"/>
                <w:lang w:val="es-MX"/>
              </w:rPr>
              <w:t>Minimizar exposición de RUT, ubicación y evidencia fotográfica.</w:t>
            </w:r>
          </w:p>
        </w:tc>
      </w:tr>
    </w:tbl>
    <w:p w14:paraId="74F6D115" w14:textId="77777777" w:rsidR="0088507D" w:rsidRPr="00B54B6E" w:rsidRDefault="0088507D">
      <w:pPr>
        <w:rPr>
          <w:rFonts w:ascii="Arial" w:hAnsi="Arial" w:cs="Arial"/>
          <w:lang w:val="es-MX"/>
        </w:rPr>
      </w:pPr>
    </w:p>
    <w:p w14:paraId="3BC01860" w14:textId="77777777" w:rsidR="0088507D" w:rsidRPr="00B54B6E" w:rsidRDefault="00000000">
      <w:pPr>
        <w:pStyle w:val="Heading1"/>
        <w:rPr>
          <w:rFonts w:ascii="Arial" w:hAnsi="Arial" w:cs="Arial"/>
        </w:rPr>
      </w:pPr>
      <w:r w:rsidRPr="00B54B6E">
        <w:rPr>
          <w:rFonts w:ascii="Arial" w:hAnsi="Arial" w:cs="Arial"/>
        </w:rPr>
        <w:t xml:space="preserve">Reglas de </w:t>
      </w:r>
      <w:proofErr w:type="spellStart"/>
      <w:r w:rsidRPr="00B54B6E">
        <w:rPr>
          <w:rFonts w:ascii="Arial" w:hAnsi="Arial" w:cs="Arial"/>
        </w:rPr>
        <w:t>negocio</w:t>
      </w:r>
      <w:proofErr w:type="spellEnd"/>
      <w:r w:rsidRPr="00B54B6E">
        <w:rPr>
          <w:rFonts w:ascii="Arial" w:hAnsi="Arial" w:cs="Arial"/>
        </w:rPr>
        <w:t xml:space="preserve"> </w:t>
      </w:r>
      <w:proofErr w:type="spellStart"/>
      <w:r w:rsidRPr="00B54B6E">
        <w:rPr>
          <w:rFonts w:ascii="Arial" w:hAnsi="Arial" w:cs="Arial"/>
        </w:rPr>
        <w:t>conocidas</w:t>
      </w:r>
      <w:proofErr w:type="spellEnd"/>
    </w:p>
    <w:p w14:paraId="5373FD8E" w14:textId="77777777" w:rsidR="0088507D" w:rsidRPr="00B54B6E" w:rsidRDefault="00000000">
      <w:pPr>
        <w:pStyle w:val="ListBullet"/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 xml:space="preserve">Una posición dañada exige evidencia fotográfica; el contrato utiliza </w:t>
      </w:r>
      <w:proofErr w:type="spellStart"/>
      <w:r w:rsidRPr="00B54B6E">
        <w:rPr>
          <w:rFonts w:ascii="Arial" w:hAnsi="Arial" w:cs="Arial"/>
          <w:lang w:val="es-MX"/>
        </w:rPr>
        <w:t>evidencia_url</w:t>
      </w:r>
      <w:proofErr w:type="spellEnd"/>
      <w:r w:rsidRPr="00B54B6E">
        <w:rPr>
          <w:rFonts w:ascii="Arial" w:hAnsi="Arial" w:cs="Arial"/>
          <w:lang w:val="es-MX"/>
        </w:rPr>
        <w:t>.</w:t>
      </w:r>
    </w:p>
    <w:p w14:paraId="23D312E5" w14:textId="77777777" w:rsidR="0088507D" w:rsidRPr="00B54B6E" w:rsidRDefault="00000000">
      <w:pPr>
        <w:pStyle w:val="ListBullet"/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>Los estados no previstos se rechazan por restricciones de base de datos.</w:t>
      </w:r>
    </w:p>
    <w:p w14:paraId="73889AA7" w14:textId="77777777" w:rsidR="0088507D" w:rsidRPr="00B54B6E" w:rsidRDefault="00000000">
      <w:pPr>
        <w:pStyle w:val="ListBullet"/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>El importe por posición depende de tarifa multiplicada por cantidad de bultos; una venta suma subtotal y recargos.</w:t>
      </w:r>
    </w:p>
    <w:p w14:paraId="5AA1F319" w14:textId="77777777" w:rsidR="0088507D" w:rsidRPr="00B54B6E" w:rsidRDefault="00000000">
      <w:pPr>
        <w:pStyle w:val="ListBullet"/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>Una orden puede quedar parcial si existe carga válida y posiciones excluidas.</w:t>
      </w:r>
    </w:p>
    <w:p w14:paraId="11F7FECB" w14:textId="77777777" w:rsidR="0088507D" w:rsidRPr="00B54B6E" w:rsidRDefault="00000000">
      <w:pPr>
        <w:pStyle w:val="ListBullet"/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>Los códigos de recuperación se consideran de un solo uso; vencimiento e intentos deben validarse contra versión desplegada.</w:t>
      </w:r>
    </w:p>
    <w:p w14:paraId="71F67D1F" w14:textId="77777777" w:rsidR="0088507D" w:rsidRPr="00B54B6E" w:rsidRDefault="00000000">
      <w:pPr>
        <w:pStyle w:val="Heading1"/>
        <w:rPr>
          <w:rFonts w:ascii="Arial" w:hAnsi="Arial" w:cs="Arial"/>
        </w:rPr>
      </w:pPr>
      <w:proofErr w:type="spellStart"/>
      <w:r w:rsidRPr="00B54B6E">
        <w:rPr>
          <w:rFonts w:ascii="Arial" w:hAnsi="Arial" w:cs="Arial"/>
        </w:rPr>
        <w:t>Criterios</w:t>
      </w:r>
      <w:proofErr w:type="spellEnd"/>
      <w:r w:rsidRPr="00B54B6E">
        <w:rPr>
          <w:rFonts w:ascii="Arial" w:hAnsi="Arial" w:cs="Arial"/>
        </w:rPr>
        <w:t xml:space="preserve"> de </w:t>
      </w:r>
      <w:proofErr w:type="spellStart"/>
      <w:r w:rsidRPr="00B54B6E">
        <w:rPr>
          <w:rFonts w:ascii="Arial" w:hAnsi="Arial" w:cs="Arial"/>
        </w:rPr>
        <w:t>aceptación</w:t>
      </w:r>
      <w:proofErr w:type="spellEnd"/>
      <w:r w:rsidRPr="00B54B6E">
        <w:rPr>
          <w:rFonts w:ascii="Arial" w:hAnsi="Arial" w:cs="Arial"/>
        </w:rPr>
        <w:t xml:space="preserve"> </w:t>
      </w:r>
      <w:proofErr w:type="spellStart"/>
      <w:r w:rsidRPr="00B54B6E">
        <w:rPr>
          <w:rFonts w:ascii="Arial" w:hAnsi="Arial" w:cs="Arial"/>
        </w:rPr>
        <w:t>globales</w:t>
      </w:r>
      <w:proofErr w:type="spellEnd"/>
    </w:p>
    <w:p w14:paraId="182B0420" w14:textId="77777777" w:rsidR="0088507D" w:rsidRPr="00B54B6E" w:rsidRDefault="00000000">
      <w:pPr>
        <w:pStyle w:val="ListBullet"/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>No debe aceptarse una venta con importes inconsistentes.</w:t>
      </w:r>
    </w:p>
    <w:p w14:paraId="454A0ED3" w14:textId="77777777" w:rsidR="0088507D" w:rsidRPr="00B54B6E" w:rsidRDefault="00000000">
      <w:pPr>
        <w:pStyle w:val="ListBullet"/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>No debe cerrarse una carga con posiciones pendientes sin aviso/validación.</w:t>
      </w:r>
    </w:p>
    <w:p w14:paraId="45278E44" w14:textId="77777777" w:rsidR="0088507D" w:rsidRPr="00B54B6E" w:rsidRDefault="00000000">
      <w:pPr>
        <w:pStyle w:val="ListBullet"/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lastRenderedPageBreak/>
        <w:t>No debe aceptarse daño sin evidencia requerida.</w:t>
      </w:r>
    </w:p>
    <w:p w14:paraId="1989A9D6" w14:textId="77777777" w:rsidR="0088507D" w:rsidRPr="00B54B6E" w:rsidRDefault="00000000">
      <w:pPr>
        <w:pStyle w:val="ListBullet"/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>No debe entregarse información a un rol sin autorización.</w:t>
      </w:r>
    </w:p>
    <w:p w14:paraId="51453621" w14:textId="77777777" w:rsidR="0088507D" w:rsidRPr="00B54B6E" w:rsidRDefault="00000000">
      <w:pPr>
        <w:pStyle w:val="ListBullet"/>
        <w:rPr>
          <w:rFonts w:ascii="Arial" w:hAnsi="Arial" w:cs="Arial"/>
          <w:lang w:val="es-MX"/>
        </w:rPr>
      </w:pPr>
      <w:r w:rsidRPr="00B54B6E">
        <w:rPr>
          <w:rFonts w:ascii="Arial" w:hAnsi="Arial" w:cs="Arial"/>
          <w:lang w:val="es-MX"/>
        </w:rPr>
        <w:t xml:space="preserve">No debe considerarse integrada una vista que todavía use </w:t>
      </w:r>
      <w:proofErr w:type="spellStart"/>
      <w:r w:rsidRPr="00B54B6E">
        <w:rPr>
          <w:rFonts w:ascii="Arial" w:hAnsi="Arial" w:cs="Arial"/>
          <w:lang w:val="es-MX"/>
        </w:rPr>
        <w:t>mocks</w:t>
      </w:r>
      <w:proofErr w:type="spellEnd"/>
      <w:r w:rsidRPr="00B54B6E">
        <w:rPr>
          <w:rFonts w:ascii="Arial" w:hAnsi="Arial" w:cs="Arial"/>
          <w:lang w:val="es-MX"/>
        </w:rPr>
        <w:t>.</w:t>
      </w:r>
    </w:p>
    <w:sectPr w:rsidR="0088507D" w:rsidRPr="00B54B6E" w:rsidSect="00034616">
      <w:footerReference w:type="default" r:id="rId8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3D3CD" w14:textId="77777777" w:rsidR="0031592D" w:rsidRDefault="0031592D">
      <w:pPr>
        <w:spacing w:after="0" w:line="240" w:lineRule="auto"/>
      </w:pPr>
      <w:r>
        <w:separator/>
      </w:r>
    </w:p>
  </w:endnote>
  <w:endnote w:type="continuationSeparator" w:id="0">
    <w:p w14:paraId="289782B4" w14:textId="77777777" w:rsidR="0031592D" w:rsidRDefault="00315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11758" w14:textId="4D6B8C9C" w:rsidR="0088507D" w:rsidRDefault="0088507D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1E69E" w14:textId="77777777" w:rsidR="0031592D" w:rsidRDefault="0031592D">
      <w:pPr>
        <w:spacing w:after="0" w:line="240" w:lineRule="auto"/>
      </w:pPr>
      <w:r>
        <w:separator/>
      </w:r>
    </w:p>
  </w:footnote>
  <w:footnote w:type="continuationSeparator" w:id="0">
    <w:p w14:paraId="5650144D" w14:textId="77777777" w:rsidR="0031592D" w:rsidRDefault="003159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452205">
    <w:abstractNumId w:val="8"/>
  </w:num>
  <w:num w:numId="2" w16cid:durableId="798914593">
    <w:abstractNumId w:val="6"/>
  </w:num>
  <w:num w:numId="3" w16cid:durableId="1768235484">
    <w:abstractNumId w:val="5"/>
  </w:num>
  <w:num w:numId="4" w16cid:durableId="1165628558">
    <w:abstractNumId w:val="4"/>
  </w:num>
  <w:num w:numId="5" w16cid:durableId="943195413">
    <w:abstractNumId w:val="7"/>
  </w:num>
  <w:num w:numId="6" w16cid:durableId="626278662">
    <w:abstractNumId w:val="3"/>
  </w:num>
  <w:num w:numId="7" w16cid:durableId="164823679">
    <w:abstractNumId w:val="2"/>
  </w:num>
  <w:num w:numId="8" w16cid:durableId="1976719955">
    <w:abstractNumId w:val="1"/>
  </w:num>
  <w:num w:numId="9" w16cid:durableId="28646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50D"/>
    <w:rsid w:val="0029639D"/>
    <w:rsid w:val="0031592D"/>
    <w:rsid w:val="00326F90"/>
    <w:rsid w:val="0088507D"/>
    <w:rsid w:val="00AA1D8D"/>
    <w:rsid w:val="00B47730"/>
    <w:rsid w:val="00B54B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609E41"/>
  <w14:defaultImageDpi w14:val="300"/>
  <w15:docId w15:val="{B2F894FB-BA0D-4AB2-B4C9-6D16C748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Cristobal Peña</cp:lastModifiedBy>
  <cp:revision>2</cp:revision>
  <dcterms:created xsi:type="dcterms:W3CDTF">2013-12-23T23:15:00Z</dcterms:created>
  <dcterms:modified xsi:type="dcterms:W3CDTF">2026-10-19T19:09:00Z</dcterms:modified>
  <cp:category/>
</cp:coreProperties>
</file>