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gestión de riesgos</w:t>
      </w:r>
    </w:p>
    <w:p>
      <w:pPr>
        <w:pStyle w:val="Subtitle"/>
      </w:pPr>
      <w:r>
        <w:t>Matriz de riesgos técnicos, operacionales, académicos y de seguridad</w:t>
      </w:r>
    </w:p>
    <w:p>
      <w:r>
        <w:t>VialNex | Proyecto académico · Ingeniería en Informática · Duoc UC Plaza Norte</w:t>
      </w:r>
    </w:p>
    <w:p>
      <w:r>
        <w:t>Versión de trabajo: 19 de octubre de 2026. Elaborado a partir de antecedentes compartidos del proyecto. Las secciones marcadas «Por validar» necesitan confirmación del equipo o de la pauta docente.</w:t>
      </w:r>
    </w:p>
    <w:p>
      <w:r>
        <w:rPr>
          <w:i/>
        </w:rPr>
        <w:t>Estado del documento: borrador académico sujeto a validación y aprobación.</w:t>
      </w:r>
    </w:p>
    <w:p>
      <w:pPr>
        <w:pStyle w:val="Heading1"/>
      </w:pPr>
      <w:r>
        <w:t>Matriz de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17324D"/>
          </w:tcPr>
          <w:p>
            <w:r>
              <w:rPr>
                <w:color w:val="FFFFFF"/>
              </w:rPr>
              <w:t>ID</w:t>
            </w:r>
          </w:p>
        </w:tc>
        <w:tc>
          <w:tcPr>
            <w:tcW w:type="dxa" w:w="1632"/>
            <w:shd w:fill="17324D"/>
          </w:tcPr>
          <w:p>
            <w:r>
              <w:rPr>
                <w:color w:val="FFFFFF"/>
              </w:rPr>
              <w:t>Riesgo</w:t>
            </w:r>
          </w:p>
        </w:tc>
        <w:tc>
          <w:tcPr>
            <w:tcW w:type="dxa" w:w="1632"/>
            <w:shd w:fill="17324D"/>
          </w:tcPr>
          <w:p>
            <w:r>
              <w:rPr>
                <w:color w:val="FFFFFF"/>
              </w:rPr>
              <w:t>Prob.</w:t>
            </w:r>
          </w:p>
        </w:tc>
        <w:tc>
          <w:tcPr>
            <w:tcW w:type="dxa" w:w="1632"/>
            <w:shd w:fill="17324D"/>
          </w:tcPr>
          <w:p>
            <w:r>
              <w:rPr>
                <w:color w:val="FFFFFF"/>
              </w:rPr>
              <w:t>Impacto</w:t>
            </w:r>
          </w:p>
        </w:tc>
        <w:tc>
          <w:tcPr>
            <w:tcW w:type="dxa" w:w="1632"/>
            <w:shd w:fill="17324D"/>
          </w:tcPr>
          <w:p>
            <w:r>
              <w:rPr>
                <w:color w:val="FFFFFF"/>
              </w:rPr>
              <w:t>Respuesta</w:t>
            </w:r>
          </w:p>
        </w:tc>
        <w:tc>
          <w:tcPr>
            <w:tcW w:type="dxa" w:w="1632"/>
            <w:shd w:fill="17324D"/>
          </w:tcPr>
          <w:p>
            <w:r>
              <w:rPr>
                <w:color w:val="FFFFFF"/>
              </w:rPr>
              <w:t>Dueño</w:t>
            </w:r>
          </w:p>
        </w:tc>
      </w:tr>
      <w:tr>
        <w:tc>
          <w:tcPr>
            <w:tcW w:type="dxa" w:w="1632"/>
          </w:tcPr>
          <w:p>
            <w:r>
              <w:t>R01</w:t>
            </w:r>
          </w:p>
        </w:tc>
        <w:tc>
          <w:tcPr>
            <w:tcW w:type="dxa" w:w="1632"/>
          </w:tcPr>
          <w:p>
            <w:r>
              <w:t>GTD sin apertura de puertos</w:t>
            </w:r>
          </w:p>
        </w:tc>
        <w:tc>
          <w:tcPr>
            <w:tcW w:type="dxa" w:w="1632"/>
          </w:tcPr>
          <w:p>
            <w:r>
              <w:t>Alta</w:t>
            </w:r>
          </w:p>
        </w:tc>
        <w:tc>
          <w:tcPr>
            <w:tcW w:type="dxa" w:w="1632"/>
          </w:tcPr>
          <w:p>
            <w:r>
              <w:t>Alta</w:t>
            </w:r>
          </w:p>
        </w:tc>
        <w:tc>
          <w:tcPr>
            <w:tcW w:type="dxa" w:w="1632"/>
          </w:tcPr>
          <w:p>
            <w:r>
              <w:t>Mantener túnel para web; gateway para SMTP externo; limitar alcance interno</w:t>
            </w:r>
          </w:p>
        </w:tc>
        <w:tc>
          <w:tcPr>
            <w:tcW w:type="dxa" w:w="1632"/>
          </w:tcPr>
          <w:p>
            <w:r>
              <w:t>Bernardo</w:t>
            </w:r>
          </w:p>
        </w:tc>
      </w:tr>
      <w:tr>
        <w:tc>
          <w:tcPr>
            <w:tcW w:type="dxa" w:w="1632"/>
          </w:tcPr>
          <w:p>
            <w:r>
              <w:t>R02</w:t>
            </w:r>
          </w:p>
        </w:tc>
        <w:tc>
          <w:tcPr>
            <w:tcW w:type="dxa" w:w="1632"/>
          </w:tcPr>
          <w:p>
            <w:r>
              <w:t>Pérdida de datos en /data</w:t>
            </w:r>
          </w:p>
        </w:tc>
        <w:tc>
          <w:tcPr>
            <w:tcW w:type="dxa" w:w="1632"/>
          </w:tcPr>
          <w:p>
            <w:r>
              <w:t>Media</w:t>
            </w:r>
          </w:p>
        </w:tc>
        <w:tc>
          <w:tcPr>
            <w:tcW w:type="dxa" w:w="1632"/>
          </w:tcPr>
          <w:p>
            <w:r>
              <w:t>Crítica</w:t>
            </w:r>
          </w:p>
        </w:tc>
        <w:tc>
          <w:tcPr>
            <w:tcW w:type="dxa" w:w="1632"/>
          </w:tcPr>
          <w:p>
            <w:r>
              <w:t>Backup externo y restauración probada</w:t>
            </w:r>
          </w:p>
        </w:tc>
        <w:tc>
          <w:tcPr>
            <w:tcW w:type="dxa" w:w="1632"/>
          </w:tcPr>
          <w:p>
            <w:r>
              <w:t>Bernardo</w:t>
            </w:r>
          </w:p>
        </w:tc>
      </w:tr>
      <w:tr>
        <w:tc>
          <w:tcPr>
            <w:tcW w:type="dxa" w:w="1632"/>
          </w:tcPr>
          <w:p>
            <w:r>
              <w:t>R03</w:t>
            </w:r>
          </w:p>
        </w:tc>
        <w:tc>
          <w:tcPr>
            <w:tcW w:type="dxa" w:w="1632"/>
          </w:tcPr>
          <w:p>
            <w:r>
              <w:t>Colisión Docker/MicroK8s/UFW</w:t>
            </w:r>
          </w:p>
        </w:tc>
        <w:tc>
          <w:tcPr>
            <w:tcW w:type="dxa" w:w="1632"/>
          </w:tcPr>
          <w:p>
            <w:r>
              <w:t>Media</w:t>
            </w:r>
          </w:p>
        </w:tc>
        <w:tc>
          <w:tcPr>
            <w:tcW w:type="dxa" w:w="1632"/>
          </w:tcPr>
          <w:p>
            <w:r>
              <w:t>Alta</w:t>
            </w:r>
          </w:p>
        </w:tc>
        <w:tc>
          <w:tcPr>
            <w:tcW w:type="dxa" w:w="1632"/>
          </w:tcPr>
          <w:p>
            <w:r>
              <w:t>Cambios controlados, revisión subredes y snapshots</w:t>
            </w:r>
          </w:p>
        </w:tc>
        <w:tc>
          <w:tcPr>
            <w:tcW w:type="dxa" w:w="1632"/>
          </w:tcPr>
          <w:p>
            <w:r>
              <w:t>Bernardo</w:t>
            </w:r>
          </w:p>
        </w:tc>
      </w:tr>
      <w:tr>
        <w:tc>
          <w:tcPr>
            <w:tcW w:type="dxa" w:w="1632"/>
          </w:tcPr>
          <w:p>
            <w:r>
              <w:t>R04</w:t>
            </w:r>
          </w:p>
        </w:tc>
        <w:tc>
          <w:tcPr>
            <w:tcW w:type="dxa" w:w="1632"/>
          </w:tcPr>
          <w:p>
            <w:r>
              <w:t>Dependencias de API retrasadas</w:t>
            </w:r>
          </w:p>
        </w:tc>
        <w:tc>
          <w:tcPr>
            <w:tcW w:type="dxa" w:w="1632"/>
          </w:tcPr>
          <w:p>
            <w:r>
              <w:t>Alta</w:t>
            </w:r>
          </w:p>
        </w:tc>
        <w:tc>
          <w:tcPr>
            <w:tcW w:type="dxa" w:w="1632"/>
          </w:tcPr>
          <w:p>
            <w:r>
              <w:t>Alta</w:t>
            </w:r>
          </w:p>
        </w:tc>
        <w:tc>
          <w:tcPr>
            <w:tcW w:type="dxa" w:w="1632"/>
          </w:tcPr>
          <w:p>
            <w:r>
              <w:t>Contratos, mocks temporales, integración por HU y bloqueos visibles</w:t>
            </w:r>
          </w:p>
        </w:tc>
        <w:tc>
          <w:tcPr>
            <w:tcW w:type="dxa" w:w="1632"/>
          </w:tcPr>
          <w:p>
            <w:r>
              <w:t>Equipo</w:t>
            </w:r>
          </w:p>
        </w:tc>
      </w:tr>
      <w:tr>
        <w:tc>
          <w:tcPr>
            <w:tcW w:type="dxa" w:w="1632"/>
          </w:tcPr>
          <w:p>
            <w:r>
              <w:t>R05</w:t>
            </w:r>
          </w:p>
        </w:tc>
        <w:tc>
          <w:tcPr>
            <w:tcW w:type="dxa" w:w="1632"/>
          </w:tcPr>
          <w:p>
            <w:r>
              <w:t>Vistas aún con datos simulados</w:t>
            </w:r>
          </w:p>
        </w:tc>
        <w:tc>
          <w:tcPr>
            <w:tcW w:type="dxa" w:w="1632"/>
          </w:tcPr>
          <w:p>
            <w:r>
              <w:t>Alta</w:t>
            </w:r>
          </w:p>
        </w:tc>
        <w:tc>
          <w:tcPr>
            <w:tcW w:type="dxa" w:w="1632"/>
          </w:tcPr>
          <w:p>
            <w:r>
              <w:t>Alta</w:t>
            </w:r>
          </w:p>
        </w:tc>
        <w:tc>
          <w:tcPr>
            <w:tcW w:type="dxa" w:w="1632"/>
          </w:tcPr>
          <w:p>
            <w:r>
              <w:t>Pruebas E2E y criterios de aceptación de integración</w:t>
            </w:r>
          </w:p>
        </w:tc>
        <w:tc>
          <w:tcPr>
            <w:tcW w:type="dxa" w:w="1632"/>
          </w:tcPr>
          <w:p>
            <w:r>
              <w:t>Cristóbal</w:t>
            </w:r>
          </w:p>
        </w:tc>
      </w:tr>
      <w:tr>
        <w:tc>
          <w:tcPr>
            <w:tcW w:type="dxa" w:w="1632"/>
          </w:tcPr>
          <w:p>
            <w:r>
              <w:t>R06</w:t>
            </w:r>
          </w:p>
        </w:tc>
        <w:tc>
          <w:tcPr>
            <w:tcW w:type="dxa" w:w="1632"/>
          </w:tcPr>
          <w:p>
            <w:r>
              <w:t>Fotografía de daño sin alojamiento definitivo</w:t>
            </w:r>
          </w:p>
        </w:tc>
        <w:tc>
          <w:tcPr>
            <w:tcW w:type="dxa" w:w="1632"/>
          </w:tcPr>
          <w:p>
            <w:r>
              <w:t>Alta</w:t>
            </w:r>
          </w:p>
        </w:tc>
        <w:tc>
          <w:tcPr>
            <w:tcW w:type="dxa" w:w="1632"/>
          </w:tcPr>
          <w:p>
            <w:r>
              <w:t>Media</w:t>
            </w:r>
          </w:p>
        </w:tc>
        <w:tc>
          <w:tcPr>
            <w:tcW w:type="dxa" w:w="1632"/>
          </w:tcPr>
          <w:p>
            <w:r>
              <w:t>Definir storage, URL autorizada y privacidad</w:t>
            </w:r>
          </w:p>
        </w:tc>
        <w:tc>
          <w:tcPr>
            <w:tcW w:type="dxa" w:w="1632"/>
          </w:tcPr>
          <w:p>
            <w:r>
              <w:t>Bernardo/Javier</w:t>
            </w:r>
          </w:p>
        </w:tc>
      </w:tr>
      <w:tr>
        <w:tc>
          <w:tcPr>
            <w:tcW w:type="dxa" w:w="1632"/>
          </w:tcPr>
          <w:p>
            <w:r>
              <w:t>R07</w:t>
            </w:r>
          </w:p>
        </w:tc>
        <w:tc>
          <w:tcPr>
            <w:tcW w:type="dxa" w:w="1632"/>
          </w:tcPr>
          <w:p>
            <w:r>
              <w:t>Exposición de credenciales</w:t>
            </w:r>
          </w:p>
        </w:tc>
        <w:tc>
          <w:tcPr>
            <w:tcW w:type="dxa" w:w="1632"/>
          </w:tcPr>
          <w:p>
            <w:r>
              <w:t>Media</w:t>
            </w:r>
          </w:p>
        </w:tc>
        <w:tc>
          <w:tcPr>
            <w:tcW w:type="dxa" w:w="1632"/>
          </w:tcPr>
          <w:p>
            <w:r>
              <w:t>Crítica</w:t>
            </w:r>
          </w:p>
        </w:tc>
        <w:tc>
          <w:tcPr>
            <w:tcW w:type="dxa" w:w="1632"/>
          </w:tcPr>
          <w:p>
            <w:r>
              <w:t>Rotar secretos, MFA, permisos mínimos</w:t>
            </w:r>
          </w:p>
        </w:tc>
        <w:tc>
          <w:tcPr>
            <w:tcW w:type="dxa" w:w="1632"/>
          </w:tcPr>
          <w:p>
            <w:r>
              <w:t>Bernardo</w:t>
            </w:r>
          </w:p>
        </w:tc>
      </w:tr>
      <w:tr>
        <w:tc>
          <w:tcPr>
            <w:tcW w:type="dxa" w:w="1632"/>
          </w:tcPr>
          <w:p>
            <w:r>
              <w:t>R08</w:t>
            </w:r>
          </w:p>
        </w:tc>
        <w:tc>
          <w:tcPr>
            <w:tcW w:type="dxa" w:w="1632"/>
          </w:tcPr>
          <w:p>
            <w:r>
              <w:t>Datos de comunas/tarifas incompletos</w:t>
            </w:r>
          </w:p>
        </w:tc>
        <w:tc>
          <w:tcPr>
            <w:tcW w:type="dxa" w:w="1632"/>
          </w:tcPr>
          <w:p>
            <w:r>
              <w:t>Media</w:t>
            </w:r>
          </w:p>
        </w:tc>
        <w:tc>
          <w:tcPr>
            <w:tcW w:type="dxa" w:w="1632"/>
          </w:tcPr>
          <w:p>
            <w:r>
              <w:t>Alta</w:t>
            </w:r>
          </w:p>
        </w:tc>
        <w:tc>
          <w:tcPr>
            <w:tcW w:type="dxa" w:w="1632"/>
          </w:tcPr>
          <w:p>
            <w:r>
              <w:t>Cargar comunas verificadas; no inventar zonas</w:t>
            </w:r>
          </w:p>
        </w:tc>
        <w:tc>
          <w:tcPr>
            <w:tcW w:type="dxa" w:w="1632"/>
          </w:tcPr>
          <w:p>
            <w:r>
              <w:t>Bernardo</w:t>
            </w:r>
          </w:p>
        </w:tc>
      </w:tr>
      <w:tr>
        <w:tc>
          <w:tcPr>
            <w:tcW w:type="dxa" w:w="1632"/>
          </w:tcPr>
          <w:p>
            <w:r>
              <w:t>R09</w:t>
            </w:r>
          </w:p>
        </w:tc>
        <w:tc>
          <w:tcPr>
            <w:tcW w:type="dxa" w:w="1632"/>
          </w:tcPr>
          <w:p>
            <w:r>
              <w:t>Disponibilidad de los tres integrantes</w:t>
            </w:r>
          </w:p>
        </w:tc>
        <w:tc>
          <w:tcPr>
            <w:tcW w:type="dxa" w:w="1632"/>
          </w:tcPr>
          <w:p>
            <w:r>
              <w:t>Media</w:t>
            </w:r>
          </w:p>
        </w:tc>
        <w:tc>
          <w:tcPr>
            <w:tcW w:type="dxa" w:w="1632"/>
          </w:tcPr>
          <w:p>
            <w:r>
              <w:t>Media</w:t>
            </w:r>
          </w:p>
        </w:tc>
        <w:tc>
          <w:tcPr>
            <w:tcW w:type="dxa" w:w="1632"/>
          </w:tcPr>
          <w:p>
            <w:r>
              <w:t>WIP máximo 3, refinamiento y reasignación</w:t>
            </w:r>
          </w:p>
        </w:tc>
        <w:tc>
          <w:tcPr>
            <w:tcW w:type="dxa" w:w="1632"/>
          </w:tcPr>
          <w:p>
            <w:r>
              <w:t>Equipo</w:t>
            </w:r>
          </w:p>
        </w:tc>
      </w:tr>
      <w:tr>
        <w:tc>
          <w:tcPr>
            <w:tcW w:type="dxa" w:w="1632"/>
          </w:tcPr>
          <w:p>
            <w:r>
              <w:t>R10</w:t>
            </w:r>
          </w:p>
        </w:tc>
        <w:tc>
          <w:tcPr>
            <w:tcW w:type="dxa" w:w="1632"/>
          </w:tcPr>
          <w:p>
            <w:r>
              <w:t>Documentación no alineada con rúbrica</w:t>
            </w:r>
          </w:p>
        </w:tc>
        <w:tc>
          <w:tcPr>
            <w:tcW w:type="dxa" w:w="1632"/>
          </w:tcPr>
          <w:p>
            <w:r>
              <w:t>Media</w:t>
            </w:r>
          </w:p>
        </w:tc>
        <w:tc>
          <w:tcPr>
            <w:tcW w:type="dxa" w:w="1632"/>
          </w:tcPr>
          <w:p>
            <w:r>
              <w:t>Alta</w:t>
            </w:r>
          </w:p>
        </w:tc>
        <w:tc>
          <w:tcPr>
            <w:tcW w:type="dxa" w:w="1632"/>
          </w:tcPr>
          <w:p>
            <w:r>
              <w:t>Solicitar pauta, matriz de cumplimiento y revisión docente</w:t>
            </w:r>
          </w:p>
        </w:tc>
        <w:tc>
          <w:tcPr>
            <w:tcW w:type="dxa" w:w="1632"/>
          </w:tcPr>
          <w:p>
            <w:r>
              <w:t>Equipo</w:t>
            </w:r>
          </w:p>
        </w:tc>
      </w:tr>
    </w:tbl>
    <w:p/>
    <w:p>
      <w:pPr>
        <w:pStyle w:val="Heading1"/>
      </w:pPr>
      <w:r>
        <w:t>Seguimiento</w:t>
      </w:r>
    </w:p>
    <w:p>
      <w:pPr>
        <w:pStyle w:val="ListBullet"/>
      </w:pPr>
      <w:r>
        <w:t>Revisar riesgos durante Planning y al menos una vez por sprint.</w:t>
      </w:r>
    </w:p>
    <w:p>
      <w:pPr>
        <w:pStyle w:val="ListBullet"/>
      </w:pPr>
      <w:r>
        <w:t>Actualizar probabilidad, impacto, disparador y mitigación ante nuevos incidentes.</w:t>
      </w:r>
    </w:p>
    <w:p>
      <w:pPr>
        <w:pStyle w:val="ListBullet"/>
      </w:pPr>
      <w:r>
        <w:t>Escalar riesgos críticos antes de desplegar a usuarios de prueba.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Documento controlado · v1.0 · Octubre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VIALNEX  /  DOCUMENTACIÓN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E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5B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2E4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