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calidad y pruebas</w:t>
      </w:r>
    </w:p>
    <w:p>
      <w:pPr>
        <w:pStyle w:val="Subtitle"/>
      </w:pPr>
      <w:r>
        <w:t>Estrategia de validación técnica, funcional y de aceptación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Enfoque</w:t>
      </w:r>
    </w:p>
    <w:p>
      <w:r>
        <w:t>Validación basada en HU y riesgos, organizada en pruebas unitarias, integrales, API, base de datos, interfaz, seguridad y aceptación por sprint.</w:t>
      </w:r>
    </w:p>
    <w:p>
      <w:pPr>
        <w:pStyle w:val="Heading1"/>
      </w:pPr>
      <w:r>
        <w:t>Casos de prueba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7324D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448"/>
            <w:shd w:fill="17324D"/>
          </w:tcPr>
          <w:p>
            <w:r>
              <w:rPr>
                <w:color w:val="FFFFFF"/>
              </w:rPr>
              <w:t>Escenario</w:t>
            </w:r>
          </w:p>
        </w:tc>
        <w:tc>
          <w:tcPr>
            <w:tcW w:type="dxa" w:w="2448"/>
            <w:shd w:fill="17324D"/>
          </w:tcPr>
          <w:p>
            <w:r>
              <w:rPr>
                <w:color w:val="FFFFFF"/>
              </w:rPr>
              <w:t>Resultado esperado</w:t>
            </w:r>
          </w:p>
        </w:tc>
        <w:tc>
          <w:tcPr>
            <w:tcW w:type="dxa" w:w="2448"/>
            <w:shd w:fill="17324D"/>
          </w:tcPr>
          <w:p>
            <w:r>
              <w:rPr>
                <w:color w:val="FFFFFF"/>
              </w:rPr>
              <w:t>Evidencia</w:t>
            </w:r>
          </w:p>
        </w:tc>
      </w:tr>
      <w:tr>
        <w:tc>
          <w:tcPr>
            <w:tcW w:type="dxa" w:w="2448"/>
          </w:tcPr>
          <w:p>
            <w:r>
              <w:t>CP-01</w:t>
            </w:r>
          </w:p>
        </w:tc>
        <w:tc>
          <w:tcPr>
            <w:tcW w:type="dxa" w:w="2448"/>
          </w:tcPr>
          <w:p>
            <w:r>
              <w:t>Login correcto/incorrecto</w:t>
            </w:r>
          </w:p>
        </w:tc>
        <w:tc>
          <w:tcPr>
            <w:tcW w:type="dxa" w:w="2448"/>
          </w:tcPr>
          <w:p>
            <w:r>
              <w:t>Acceso controlado y error seguro</w:t>
            </w:r>
          </w:p>
        </w:tc>
        <w:tc>
          <w:tcPr>
            <w:tcW w:type="dxa" w:w="2448"/>
          </w:tcPr>
          <w:p>
            <w:r>
              <w:t>Captura + resultado API</w:t>
            </w:r>
          </w:p>
        </w:tc>
      </w:tr>
      <w:tr>
        <w:tc>
          <w:tcPr>
            <w:tcW w:type="dxa" w:w="2448"/>
          </w:tcPr>
          <w:p>
            <w:r>
              <w:t>CP-02</w:t>
            </w:r>
          </w:p>
        </w:tc>
        <w:tc>
          <w:tcPr>
            <w:tcW w:type="dxa" w:w="2448"/>
          </w:tcPr>
          <w:p>
            <w:r>
              <w:t>Permisos web/app</w:t>
            </w:r>
          </w:p>
        </w:tc>
        <w:tc>
          <w:tcPr>
            <w:tcW w:type="dxa" w:w="2448"/>
          </w:tcPr>
          <w:p>
            <w:r>
              <w:t>Rol ve solo opciones autorizadas</w:t>
            </w:r>
          </w:p>
        </w:tc>
        <w:tc>
          <w:tcPr>
            <w:tcW w:type="dxa" w:w="2448"/>
          </w:tcPr>
          <w:p>
            <w:r>
              <w:t>Matriz de roles</w:t>
            </w:r>
          </w:p>
        </w:tc>
      </w:tr>
      <w:tr>
        <w:tc>
          <w:tcPr>
            <w:tcW w:type="dxa" w:w="2448"/>
          </w:tcPr>
          <w:p>
            <w:r>
              <w:t>CP-03</w:t>
            </w:r>
          </w:p>
        </w:tc>
        <w:tc>
          <w:tcPr>
            <w:tcW w:type="dxa" w:w="2448"/>
          </w:tcPr>
          <w:p>
            <w:r>
              <w:t>Tarifa TV 65" tramo M zona urbana</w:t>
            </w:r>
          </w:p>
        </w:tc>
        <w:tc>
          <w:tcPr>
            <w:tcW w:type="dxa" w:w="2448"/>
          </w:tcPr>
          <w:p>
            <w:r>
              <w:t>Tarifa 11.990 según prueba previa</w:t>
            </w:r>
          </w:p>
        </w:tc>
        <w:tc>
          <w:tcPr>
            <w:tcW w:type="dxa" w:w="2448"/>
          </w:tcPr>
          <w:p>
            <w:r>
              <w:t>Consulta SQL/registro</w:t>
            </w:r>
          </w:p>
        </w:tc>
      </w:tr>
      <w:tr>
        <w:tc>
          <w:tcPr>
            <w:tcW w:type="dxa" w:w="2448"/>
          </w:tcPr>
          <w:p>
            <w:r>
              <w:t>CP-04</w:t>
            </w:r>
          </w:p>
        </w:tc>
        <w:tc>
          <w:tcPr>
            <w:tcW w:type="dxa" w:w="2448"/>
          </w:tcPr>
          <w:p>
            <w:r>
              <w:t>Total de venta</w:t>
            </w:r>
          </w:p>
        </w:tc>
        <w:tc>
          <w:tcPr>
            <w:tcW w:type="dxa" w:w="2448"/>
          </w:tcPr>
          <w:p>
            <w:r>
              <w:t>Subtotal + recargos = total</w:t>
            </w:r>
          </w:p>
        </w:tc>
        <w:tc>
          <w:tcPr>
            <w:tcW w:type="dxa" w:w="2448"/>
          </w:tcPr>
          <w:p>
            <w:r>
              <w:t>Resultado BD/API</w:t>
            </w:r>
          </w:p>
        </w:tc>
      </w:tr>
      <w:tr>
        <w:tc>
          <w:tcPr>
            <w:tcW w:type="dxa" w:w="2448"/>
          </w:tcPr>
          <w:p>
            <w:r>
              <w:t>CP-05</w:t>
            </w:r>
          </w:p>
        </w:tc>
        <w:tc>
          <w:tcPr>
            <w:tcW w:type="dxa" w:w="2448"/>
          </w:tcPr>
          <w:p>
            <w:r>
              <w:t>Estado dañada sin foto</w:t>
            </w:r>
          </w:p>
        </w:tc>
        <w:tc>
          <w:tcPr>
            <w:tcW w:type="dxa" w:w="2448"/>
          </w:tcPr>
          <w:p>
            <w:r>
              <w:t>Rechazo por validación</w:t>
            </w:r>
          </w:p>
        </w:tc>
        <w:tc>
          <w:tcPr>
            <w:tcW w:type="dxa" w:w="2448"/>
          </w:tcPr>
          <w:p>
            <w:r>
              <w:t>Respuesta de API</w:t>
            </w:r>
          </w:p>
        </w:tc>
      </w:tr>
      <w:tr>
        <w:tc>
          <w:tcPr>
            <w:tcW w:type="dxa" w:w="2448"/>
          </w:tcPr>
          <w:p>
            <w:r>
              <w:t>CP-06</w:t>
            </w:r>
          </w:p>
        </w:tc>
        <w:tc>
          <w:tcPr>
            <w:tcW w:type="dxa" w:w="2448"/>
          </w:tcPr>
          <w:p>
            <w:r>
              <w:t>Estado dañada con foto</w:t>
            </w:r>
          </w:p>
        </w:tc>
        <w:tc>
          <w:tcPr>
            <w:tcW w:type="dxa" w:w="2448"/>
          </w:tcPr>
          <w:p>
            <w:r>
              <w:t>Aceptación con evidencia_url válida</w:t>
            </w:r>
          </w:p>
        </w:tc>
        <w:tc>
          <w:tcPr>
            <w:tcW w:type="dxa" w:w="2448"/>
          </w:tcPr>
          <w:p>
            <w:r>
              <w:t>Registro y enlace</w:t>
            </w:r>
          </w:p>
        </w:tc>
      </w:tr>
      <w:tr>
        <w:tc>
          <w:tcPr>
            <w:tcW w:type="dxa" w:w="2448"/>
          </w:tcPr>
          <w:p>
            <w:r>
              <w:t>CP-07</w:t>
            </w:r>
          </w:p>
        </w:tc>
        <w:tc>
          <w:tcPr>
            <w:tcW w:type="dxa" w:w="2448"/>
          </w:tcPr>
          <w:p>
            <w:r>
              <w:t>Estado inventado</w:t>
            </w:r>
          </w:p>
        </w:tc>
        <w:tc>
          <w:tcPr>
            <w:tcW w:type="dxa" w:w="2448"/>
          </w:tcPr>
          <w:p>
            <w:r>
              <w:t>Rechazo por restricción</w:t>
            </w:r>
          </w:p>
        </w:tc>
        <w:tc>
          <w:tcPr>
            <w:tcW w:type="dxa" w:w="2448"/>
          </w:tcPr>
          <w:p>
            <w:r>
              <w:t>Respuesta de BD</w:t>
            </w:r>
          </w:p>
        </w:tc>
      </w:tr>
      <w:tr>
        <w:tc>
          <w:tcPr>
            <w:tcW w:type="dxa" w:w="2448"/>
          </w:tcPr>
          <w:p>
            <w:r>
              <w:t>CP-08</w:t>
            </w:r>
          </w:p>
        </w:tc>
        <w:tc>
          <w:tcPr>
            <w:tcW w:type="dxa" w:w="2448"/>
          </w:tcPr>
          <w:p>
            <w:r>
              <w:t>Escaneo válido OT</w:t>
            </w:r>
          </w:p>
        </w:tc>
        <w:tc>
          <w:tcPr>
            <w:tcW w:type="dxa" w:w="2448"/>
          </w:tcPr>
          <w:p>
            <w:r>
              <w:t>Relaciona bulto correcto</w:t>
            </w:r>
          </w:p>
        </w:tc>
        <w:tc>
          <w:tcPr>
            <w:tcW w:type="dxa" w:w="2448"/>
          </w:tcPr>
          <w:p>
            <w:r>
              <w:t>Prueba móvil/API</w:t>
            </w:r>
          </w:p>
        </w:tc>
      </w:tr>
      <w:tr>
        <w:tc>
          <w:tcPr>
            <w:tcW w:type="dxa" w:w="2448"/>
          </w:tcPr>
          <w:p>
            <w:r>
              <w:t>CP-09</w:t>
            </w:r>
          </w:p>
        </w:tc>
        <w:tc>
          <w:tcPr>
            <w:tcW w:type="dxa" w:w="2448"/>
          </w:tcPr>
          <w:p>
            <w:r>
              <w:t>Escaneo de OT distinta</w:t>
            </w:r>
          </w:p>
        </w:tc>
        <w:tc>
          <w:tcPr>
            <w:tcW w:type="dxa" w:w="2448"/>
          </w:tcPr>
          <w:p>
            <w:r>
              <w:t>No corresponde a orden</w:t>
            </w:r>
          </w:p>
        </w:tc>
        <w:tc>
          <w:tcPr>
            <w:tcW w:type="dxa" w:w="2448"/>
          </w:tcPr>
          <w:p>
            <w:r>
              <w:t>Prueba móvil/API</w:t>
            </w:r>
          </w:p>
        </w:tc>
      </w:tr>
      <w:tr>
        <w:tc>
          <w:tcPr>
            <w:tcW w:type="dxa" w:w="2448"/>
          </w:tcPr>
          <w:p>
            <w:r>
              <w:t>CP-10</w:t>
            </w:r>
          </w:p>
        </w:tc>
        <w:tc>
          <w:tcPr>
            <w:tcW w:type="dxa" w:w="2448"/>
          </w:tcPr>
          <w:p>
            <w:r>
              <w:t>Carga parcial</w:t>
            </w:r>
          </w:p>
        </w:tc>
        <w:tc>
          <w:tcPr>
            <w:tcW w:type="dxa" w:w="2448"/>
          </w:tcPr>
          <w:p>
            <w:r>
              <w:t>Cierre con estado parcial correcto</w:t>
            </w:r>
          </w:p>
        </w:tc>
        <w:tc>
          <w:tcPr>
            <w:tcW w:type="dxa" w:w="2448"/>
          </w:tcPr>
          <w:p>
            <w:r>
              <w:t>OT y posiciones</w:t>
            </w:r>
          </w:p>
        </w:tc>
      </w:tr>
      <w:tr>
        <w:tc>
          <w:tcPr>
            <w:tcW w:type="dxa" w:w="2448"/>
          </w:tcPr>
          <w:p>
            <w:r>
              <w:t>CP-11</w:t>
            </w:r>
          </w:p>
        </w:tc>
        <w:tc>
          <w:tcPr>
            <w:tcW w:type="dxa" w:w="2448"/>
          </w:tcPr>
          <w:p>
            <w:r>
              <w:t>Cambio de contraseña</w:t>
            </w:r>
          </w:p>
        </w:tc>
        <w:tc>
          <w:tcPr>
            <w:tcW w:type="dxa" w:w="2448"/>
          </w:tcPr>
          <w:p>
            <w:r>
              <w:t>Invalida sesiones anteriores</w:t>
            </w:r>
          </w:p>
        </w:tc>
        <w:tc>
          <w:tcPr>
            <w:tcW w:type="dxa" w:w="2448"/>
          </w:tcPr>
          <w:p>
            <w:r>
              <w:t>Log/API + app</w:t>
            </w:r>
          </w:p>
        </w:tc>
      </w:tr>
      <w:tr>
        <w:tc>
          <w:tcPr>
            <w:tcW w:type="dxa" w:w="2448"/>
          </w:tcPr>
          <w:p>
            <w:r>
              <w:t>CP-12</w:t>
            </w:r>
          </w:p>
        </w:tc>
        <w:tc>
          <w:tcPr>
            <w:tcW w:type="dxa" w:w="2448"/>
          </w:tcPr>
          <w:p>
            <w:r>
              <w:t>Webmail local</w:t>
            </w:r>
          </w:p>
        </w:tc>
        <w:tc>
          <w:tcPr>
            <w:tcW w:type="dxa" w:w="2448"/>
          </w:tcPr>
          <w:p>
            <w:r>
              <w:t>Acceso HTTPS y correo interno entre buzones</w:t>
            </w:r>
          </w:p>
        </w:tc>
        <w:tc>
          <w:tcPr>
            <w:tcW w:type="dxa" w:w="2448"/>
          </w:tcPr>
          <w:p>
            <w:r>
              <w:t>Captura y logs</w:t>
            </w:r>
          </w:p>
        </w:tc>
      </w:tr>
      <w:tr>
        <w:tc>
          <w:tcPr>
            <w:tcW w:type="dxa" w:w="2448"/>
          </w:tcPr>
          <w:p>
            <w:r>
              <w:t>CP-13</w:t>
            </w:r>
          </w:p>
        </w:tc>
        <w:tc>
          <w:tcPr>
            <w:tcW w:type="dxa" w:w="2448"/>
          </w:tcPr>
          <w:p>
            <w:r>
              <w:t>Módulos web integrados</w:t>
            </w:r>
          </w:p>
        </w:tc>
        <w:tc>
          <w:tcPr>
            <w:tcW w:type="dxa" w:w="2448"/>
          </w:tcPr>
          <w:p>
            <w:r>
              <w:t>Sin datos de prueba y persistencia real</w:t>
            </w:r>
          </w:p>
        </w:tc>
        <w:tc>
          <w:tcPr>
            <w:tcW w:type="dxa" w:w="2448"/>
          </w:tcPr>
          <w:p>
            <w:r>
              <w:t>Prueba E2E</w:t>
            </w:r>
          </w:p>
        </w:tc>
      </w:tr>
    </w:tbl>
    <w:p/>
    <w:p>
      <w:pPr>
        <w:pStyle w:val="Heading1"/>
      </w:pPr>
      <w:r>
        <w:t>Evidencias conocidas versus pendientes</w:t>
      </w:r>
    </w:p>
    <w:p>
      <w:pPr>
        <w:pStyle w:val="ListBullet"/>
      </w:pPr>
      <w:r>
        <w:t>Pruebas PostgreSQL 16 previas reportaron operaciones de carga, tarifa, venta y restricciones; repetir sobre la BD PostgreSQL 18 del servidor para asegurar equivalencia.</w:t>
      </w:r>
    </w:p>
    <w:p>
      <w:pPr>
        <w:pStyle w:val="ListBullet"/>
      </w:pPr>
      <w:r>
        <w:t>Mailcow: Unbound healthy y webmail accesible comprobados mediante capturas; aún no equivalen a verificación de entrega interna/externa.</w:t>
      </w:r>
    </w:p>
    <w:p>
      <w:pPr>
        <w:pStyle w:val="ListBullet"/>
      </w:pPr>
      <w:r>
        <w:t>Web: el resumen del 16 de octubre indica login y usuarios con API real; ventas, órdenes, rutas, bodega y monitoreo siguen usando datos simulados.</w:t>
      </w:r>
    </w:p>
    <w:p>
      <w:pPr>
        <w:pStyle w:val="Heading1"/>
      </w:pPr>
      <w:r>
        <w:t>Criterios para aprobación</w:t>
      </w:r>
    </w:p>
    <w:p>
      <w:pPr>
        <w:pStyle w:val="ListBullet"/>
      </w:pPr>
      <w:r>
        <w:t>Cero defectos críticos bloqueantes en demo final.</w:t>
      </w:r>
    </w:p>
    <w:p>
      <w:pPr>
        <w:pStyle w:val="ListBullet"/>
      </w:pPr>
      <w:r>
        <w:t>Evidencia reproducible para cada requisito de prioridad alta.</w:t>
      </w:r>
    </w:p>
    <w:p>
      <w:pPr>
        <w:pStyle w:val="ListBullet"/>
      </w:pPr>
      <w:r>
        <w:t>Registro de versiones, fecha, ambiente, ejecutor y resultado en cada prueba.</w:t>
      </w:r>
    </w:p>
    <w:p>
      <w:pPr>
        <w:pStyle w:val="ListBullet"/>
      </w:pPr>
      <w:r>
        <w:t>Incidencias defectuosas documentadas y vinculadas a HU.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