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usuario resumido</w:t>
      </w:r>
    </w:p>
    <w:p>
      <w:pPr>
        <w:pStyle w:val="Subtitle"/>
      </w:pPr>
      <w:r>
        <w:t>Acceso web, venta, órdenes, bodega y administración</w:t>
      </w:r>
    </w:p>
    <w:p>
      <w:r>
        <w:t>VialNex | Proyecto académico · Ingeniería en Informática · Duoc UC Plaza Norte</w:t>
      </w:r>
    </w:p>
    <w:p>
      <w:r>
        <w:t>Versión de trabajo: 19 de octubre de 2026. Elaborado a partir de antecedentes compartidos del proyecto. Las secciones marcadas «Por validar» necesitan confirmación del equipo o de la pauta docente.</w:t>
      </w:r>
    </w:p>
    <w:p>
      <w:r>
        <w:rPr>
          <w:i/>
        </w:rPr>
        <w:t>Estado del documento: borrador académico sujeto a validación y aprobación.</w:t>
      </w:r>
    </w:p>
    <w:p>
      <w:pPr>
        <w:pStyle w:val="Heading1"/>
      </w:pPr>
      <w:r>
        <w:t>Consideraciones</w:t>
      </w:r>
    </w:p>
    <w:p>
      <w:r>
        <w:t>Este manual es de referencia y requiere capturas de la versión final. Las opciones visibles dependen del rol y algunos módulos web aún consumen datos de prueba.</w:t>
      </w:r>
    </w:p>
    <w:p>
      <w:pPr>
        <w:pStyle w:val="Heading1"/>
      </w:pPr>
      <w:r>
        <w:t>Ingreso y credenciales</w:t>
      </w:r>
    </w:p>
    <w:p>
      <w:pPr>
        <w:pStyle w:val="ListBullet"/>
      </w:pPr>
      <w:r>
        <w:t>Abrir vialnex.app y seleccionar Iniciar sesión.</w:t>
      </w:r>
    </w:p>
    <w:p>
      <w:pPr>
        <w:pStyle w:val="ListBullet"/>
      </w:pPr>
      <w:r>
        <w:t>Introducir correo y contraseña propios.</w:t>
      </w:r>
    </w:p>
    <w:p>
      <w:pPr>
        <w:pStyle w:val="ListBullet"/>
      </w:pPr>
      <w:r>
        <w:t>Si es primer acceso o contraseña olvidada, utilizar la opción correspondiente de código por correo cuando esté habilitada.</w:t>
      </w:r>
    </w:p>
    <w:p>
      <w:pPr>
        <w:pStyle w:val="ListBullet"/>
      </w:pPr>
      <w:r>
        <w:t>Cerrar sesión al terminar, especialmente en estaciones compartidas.</w:t>
      </w:r>
    </w:p>
    <w:p>
      <w:pPr>
        <w:pStyle w:val="Heading1"/>
      </w:pPr>
      <w:r>
        <w:t>Administrador web</w:t>
      </w:r>
    </w:p>
    <w:p>
      <w:pPr>
        <w:pStyle w:val="ListBullet"/>
      </w:pPr>
      <w:r>
        <w:t>Ingresar al módulo de usuarios.</w:t>
      </w:r>
    </w:p>
    <w:p>
      <w:pPr>
        <w:pStyle w:val="ListBullet"/>
      </w:pPr>
      <w:r>
        <w:t>Crear usuario y definir acceso web, móvil o ambos, roles de bodega/conductor y marcas según autorización.</w:t>
      </w:r>
    </w:p>
    <w:p>
      <w:pPr>
        <w:pStyle w:val="ListBullet"/>
      </w:pPr>
      <w:r>
        <w:t>Consultar listado, filtrar y desactivar usuarios si procede.</w:t>
      </w:r>
    </w:p>
    <w:p>
      <w:pPr>
        <w:pStyle w:val="ListBullet"/>
      </w:pPr>
      <w:r>
        <w:t>Verificar que una cuenta sin privilegios no tenga acceso a funciones restringidas.</w:t>
      </w:r>
    </w:p>
    <w:p>
      <w:pPr>
        <w:pStyle w:val="Heading1"/>
      </w:pPr>
      <w:r>
        <w:t>Ventas y órdenes</w:t>
      </w:r>
    </w:p>
    <w:p>
      <w:pPr>
        <w:pStyle w:val="ListBullet"/>
      </w:pPr>
      <w:r>
        <w:t>Registrar cliente y posiciones de venta con dimensiones, peso y cantidades.</w:t>
      </w:r>
    </w:p>
    <w:p>
      <w:pPr>
        <w:pStyle w:val="ListBullet"/>
      </w:pPr>
      <w:r>
        <w:t>Validar cálculo de tarifa por tramo/zona y posibles recargos.</w:t>
      </w:r>
    </w:p>
    <w:p>
      <w:pPr>
        <w:pStyle w:val="ListBullet"/>
      </w:pPr>
      <w:r>
        <w:t>Confirmar datos y generar orden de transporte si la funcionalidad está integrada.</w:t>
      </w:r>
    </w:p>
    <w:p>
      <w:pPr>
        <w:pStyle w:val="ListBullet"/>
      </w:pPr>
      <w:r>
        <w:t>Buscar la orden por identificador y comprobar posiciones.</w:t>
      </w:r>
    </w:p>
    <w:p>
      <w:pPr>
        <w:pStyle w:val="Heading1"/>
      </w:pPr>
      <w:r>
        <w:t>Bodega / móvil</w:t>
      </w:r>
    </w:p>
    <w:p>
      <w:pPr>
        <w:pStyle w:val="ListBullet"/>
      </w:pPr>
      <w:r>
        <w:t>Consultar órdenes asignadas a preparación.</w:t>
      </w:r>
    </w:p>
    <w:p>
      <w:pPr>
        <w:pStyle w:val="ListBullet"/>
      </w:pPr>
      <w:r>
        <w:t>Escanear código del producto y verificar correspondencia con la orden.</w:t>
      </w:r>
    </w:p>
    <w:p>
      <w:pPr>
        <w:pStyle w:val="ListBullet"/>
      </w:pPr>
      <w:r>
        <w:t>Marcar cargado, sin stock o dañado; adjuntar foto si el estado lo requiere.</w:t>
      </w:r>
    </w:p>
    <w:p>
      <w:pPr>
        <w:pStyle w:val="ListBullet"/>
      </w:pPr>
      <w:r>
        <w:t>Cerrar carga completa o parcial verificando posiciones pendientes.</w:t>
      </w:r>
    </w:p>
    <w:p>
      <w:pPr>
        <w:pStyle w:val="Heading1"/>
      </w:pPr>
      <w:r>
        <w:t>Monitoreo y rutas</w:t>
      </w:r>
    </w:p>
    <w:p>
      <w:pPr>
        <w:pStyle w:val="ListBullet"/>
      </w:pPr>
      <w:r>
        <w:t>Consultar estado de órdenes, camiones y posiciones según los datos disponibles.</w:t>
      </w:r>
    </w:p>
    <w:p>
      <w:pPr>
        <w:pStyle w:val="ListBullet"/>
      </w:pPr>
      <w:r>
        <w:t>Crear/asignar rutas desde la web cuando esté habilitado.</w:t>
      </w:r>
    </w:p>
    <w:p>
      <w:pPr>
        <w:pStyle w:val="ListBullet"/>
      </w:pPr>
      <w:r>
        <w:t>Registrar modificación de ruta y verificar trazabilidad de cambios.</w:t>
      </w:r>
    </w:p>
    <w:p>
      <w:pPr>
        <w:pStyle w:val="Heading1"/>
      </w:pPr>
      <w:r>
        <w:t>Errores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7324D"/>
          </w:tcPr>
          <w:p>
            <w:r>
              <w:rPr>
                <w:color w:val="FFFFFF"/>
              </w:rPr>
              <w:t>Incidente</w:t>
            </w:r>
          </w:p>
        </w:tc>
        <w:tc>
          <w:tcPr>
            <w:tcW w:type="dxa" w:w="4896"/>
            <w:shd w:fill="17324D"/>
          </w:tcPr>
          <w:p>
            <w:r>
              <w:rPr>
                <w:color w:val="FFFFFF"/>
              </w:rPr>
              <w:t>Respuesta sugerida</w:t>
            </w:r>
          </w:p>
        </w:tc>
      </w:tr>
      <w:tr>
        <w:tc>
          <w:tcPr>
            <w:tcW w:type="dxa" w:w="4896"/>
          </w:tcPr>
          <w:p>
            <w:r>
              <w:t>No puedo ingresar</w:t>
            </w:r>
          </w:p>
        </w:tc>
        <w:tc>
          <w:tcPr>
            <w:tcW w:type="dxa" w:w="4896"/>
          </w:tcPr>
          <w:p>
            <w:r>
              <w:t>Verificar correo, estado activo y procedimiento de contraseña.</w:t>
            </w:r>
          </w:p>
        </w:tc>
      </w:tr>
      <w:tr>
        <w:tc>
          <w:tcPr>
            <w:tcW w:type="dxa" w:w="4896"/>
          </w:tcPr>
          <w:p>
            <w:r>
              <w:t>Tarifa inesperada</w:t>
            </w:r>
          </w:p>
        </w:tc>
        <w:tc>
          <w:tcPr>
            <w:tcW w:type="dxa" w:w="4896"/>
          </w:tcPr>
          <w:p>
            <w:r>
              <w:t>Revisar zona, tramo, dimensiones y recargos.</w:t>
            </w:r>
          </w:p>
        </w:tc>
      </w:tr>
      <w:tr>
        <w:tc>
          <w:tcPr>
            <w:tcW w:type="dxa" w:w="4896"/>
          </w:tcPr>
          <w:p>
            <w:r>
              <w:t>No puedo cargar como dañada</w:t>
            </w:r>
          </w:p>
        </w:tc>
        <w:tc>
          <w:tcPr>
            <w:tcW w:type="dxa" w:w="4896"/>
          </w:tcPr>
          <w:p>
            <w:r>
              <w:t>Adjuntar evidencia fotográfica válida.</w:t>
            </w:r>
          </w:p>
        </w:tc>
      </w:tr>
      <w:tr>
        <w:tc>
          <w:tcPr>
            <w:tcW w:type="dxa" w:w="4896"/>
          </w:tcPr>
          <w:p>
            <w:r>
              <w:t>La vista no refleja cambios</w:t>
            </w:r>
          </w:p>
        </w:tc>
        <w:tc>
          <w:tcPr>
            <w:tcW w:type="dxa" w:w="4896"/>
          </w:tcPr>
          <w:p>
            <w:r>
              <w:t>Confirmar si el módulo está conectado a API real o utiliza datos simulados.</w:t>
            </w:r>
          </w:p>
        </w:tc>
      </w:tr>
      <w:tr>
        <w:tc>
          <w:tcPr>
            <w:tcW w:type="dxa" w:w="4896"/>
          </w:tcPr>
          <w:p>
            <w:r>
              <w:t>Sin correo externo</w:t>
            </w:r>
          </w:p>
        </w:tc>
        <w:tc>
          <w:tcPr>
            <w:tcW w:type="dxa" w:w="4896"/>
          </w:tcPr>
          <w:p>
            <w:r>
              <w:t>La instalación de Mailcow todavía no tiene transporte SMTP público completo.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Documento controlado · v1.0 · Octubre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VIALNEX  /  DOCUMENTACIÓN DEL PROYECTO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2E4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5B7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2E4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