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Backlog y trazabilidad</w:t>
      </w:r>
    </w:p>
    <w:p>
      <w:pPr>
        <w:pStyle w:val="Subtitle"/>
      </w:pPr>
      <w:r>
        <w:t>Líneas de trabajo, dependencias y control de historias</w:t>
      </w:r>
    </w:p>
    <w:p>
      <w:r>
        <w:t>VialNex | Proyecto académico · Ingeniería en Informática · Duoc UC Plaza Norte</w:t>
      </w:r>
    </w:p>
    <w:p>
      <w:r>
        <w:t>Versión de trabajo: 19 de octubre de 2026. Elaborado a partir de antecedentes compartidos del proyecto. Las secciones marcadas «Por validar» necesitan confirmación del equipo o de la pauta docente.</w:t>
      </w:r>
    </w:p>
    <w:p>
      <w:r>
        <w:rPr>
          <w:i/>
        </w:rPr>
        <w:t>Estado del documento: borrador académico sujeto a validación y aprobación.</w:t>
      </w:r>
    </w:p>
    <w:p>
      <w:pPr>
        <w:pStyle w:val="Heading1"/>
      </w:pPr>
      <w:r>
        <w:t>Fuente</w:t>
      </w:r>
    </w:p>
    <w:p>
      <w:r>
        <w:t>La planificación inicial contempló 22 HU distribuidas entre 8 sprints. Más adelante se añadieron 9 HU de correo (HU-COR-001 a 009), 3 de contraseñas (HU-ACC-004 a 006) y 10 de frontend (HU-WEB-001 a 010). Estos lotes suman 44 HU nominales, pero deben verificarse contra la exportación actual de Trello antes de entregar el inventario definitivo.</w:t>
      </w:r>
    </w:p>
    <w:p>
      <w:pPr>
        <w:pStyle w:val="Heading1"/>
      </w:pPr>
      <w:r>
        <w:t>Mapa por épicas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7324D"/>
          </w:tcPr>
          <w:p>
            <w:r>
              <w:rPr>
                <w:color w:val="FFFFFF"/>
              </w:rPr>
              <w:t>Épica</w:t>
            </w:r>
          </w:p>
        </w:tc>
        <w:tc>
          <w:tcPr>
            <w:tcW w:type="dxa" w:w="3264"/>
            <w:shd w:fill="17324D"/>
          </w:tcPr>
          <w:p>
            <w:r>
              <w:rPr>
                <w:color w:val="FFFFFF"/>
              </w:rPr>
              <w:t>Identificadores</w:t>
            </w:r>
          </w:p>
        </w:tc>
        <w:tc>
          <w:tcPr>
            <w:tcW w:type="dxa" w:w="3264"/>
            <w:shd w:fill="17324D"/>
          </w:tcPr>
          <w:p>
            <w:r>
              <w:rPr>
                <w:color w:val="FFFFFF"/>
              </w:rPr>
              <w:t>Descripción</w:t>
            </w:r>
          </w:p>
        </w:tc>
      </w:tr>
      <w:tr>
        <w:tc>
          <w:tcPr>
            <w:tcW w:type="dxa" w:w="3264"/>
          </w:tcPr>
          <w:p>
            <w:r>
              <w:t>Acceso y usuarios</w:t>
            </w:r>
          </w:p>
        </w:tc>
        <w:tc>
          <w:tcPr>
            <w:tcW w:type="dxa" w:w="3264"/>
          </w:tcPr>
          <w:p>
            <w:r>
              <w:t>HU-ACC, HU-USR</w:t>
            </w:r>
          </w:p>
        </w:tc>
        <w:tc>
          <w:tcPr>
            <w:tcW w:type="dxa" w:w="3264"/>
          </w:tcPr>
          <w:p>
            <w:r>
              <w:t>Autenticación, perfiles, contraseñas y cuentas</w:t>
            </w:r>
          </w:p>
        </w:tc>
      </w:tr>
      <w:tr>
        <w:tc>
          <w:tcPr>
            <w:tcW w:type="dxa" w:w="3264"/>
          </w:tcPr>
          <w:p>
            <w:r>
              <w:t>Venta y tarifas</w:t>
            </w:r>
          </w:p>
        </w:tc>
        <w:tc>
          <w:tcPr>
            <w:tcW w:type="dxa" w:w="3264"/>
          </w:tcPr>
          <w:p>
            <w:r>
              <w:t>HU-VEN, HU-MAN</w:t>
            </w:r>
          </w:p>
        </w:tc>
        <w:tc>
          <w:tcPr>
            <w:tcW w:type="dxa" w:w="3264"/>
          </w:tcPr>
          <w:p>
            <w:r>
              <w:t>Venta multítem, zonas, tramos y mantenedores</w:t>
            </w:r>
          </w:p>
        </w:tc>
      </w:tr>
      <w:tr>
        <w:tc>
          <w:tcPr>
            <w:tcW w:type="dxa" w:w="3264"/>
          </w:tcPr>
          <w:p>
            <w:r>
              <w:t>Órdenes</w:t>
            </w:r>
          </w:p>
        </w:tc>
        <w:tc>
          <w:tcPr>
            <w:tcW w:type="dxa" w:w="3264"/>
          </w:tcPr>
          <w:p>
            <w:r>
              <w:t>HU-ORD</w:t>
            </w:r>
          </w:p>
        </w:tc>
        <w:tc>
          <w:tcPr>
            <w:tcW w:type="dxa" w:w="3264"/>
          </w:tcPr>
          <w:p>
            <w:r>
              <w:t>OT generadas desde ventas</w:t>
            </w:r>
          </w:p>
        </w:tc>
      </w:tr>
      <w:tr>
        <w:tc>
          <w:tcPr>
            <w:tcW w:type="dxa" w:w="3264"/>
          </w:tcPr>
          <w:p>
            <w:r>
              <w:t>Bodega</w:t>
            </w:r>
          </w:p>
        </w:tc>
        <w:tc>
          <w:tcPr>
            <w:tcW w:type="dxa" w:w="3264"/>
          </w:tcPr>
          <w:p>
            <w:r>
              <w:t>HU-BOD</w:t>
            </w:r>
          </w:p>
        </w:tc>
        <w:tc>
          <w:tcPr>
            <w:tcW w:type="dxa" w:w="3264"/>
          </w:tcPr>
          <w:p>
            <w:r>
              <w:t>Escaneo, exclusiones, carga completa y parcial</w:t>
            </w:r>
          </w:p>
        </w:tc>
      </w:tr>
      <w:tr>
        <w:tc>
          <w:tcPr>
            <w:tcW w:type="dxa" w:w="3264"/>
          </w:tcPr>
          <w:p>
            <w:r>
              <w:t>Rutas / monitoreo</w:t>
            </w:r>
          </w:p>
        </w:tc>
        <w:tc>
          <w:tcPr>
            <w:tcW w:type="dxa" w:w="3264"/>
          </w:tcPr>
          <w:p>
            <w:r>
              <w:t>HU-MON y HU-WEB</w:t>
            </w:r>
          </w:p>
        </w:tc>
        <w:tc>
          <w:tcPr>
            <w:tcW w:type="dxa" w:w="3264"/>
          </w:tcPr>
          <w:p>
            <w:r>
              <w:t>Rutas, panel, posición de camiones</w:t>
            </w:r>
          </w:p>
        </w:tc>
      </w:tr>
      <w:tr>
        <w:tc>
          <w:tcPr>
            <w:tcW w:type="dxa" w:w="3264"/>
          </w:tcPr>
          <w:p>
            <w:r>
              <w:t>Reportes</w:t>
            </w:r>
          </w:p>
        </w:tc>
        <w:tc>
          <w:tcPr>
            <w:tcW w:type="dxa" w:w="3264"/>
          </w:tcPr>
          <w:p>
            <w:r>
              <w:t>HU-REP</w:t>
            </w:r>
          </w:p>
        </w:tc>
        <w:tc>
          <w:tcPr>
            <w:tcW w:type="dxa" w:w="3264"/>
          </w:tcPr>
          <w:p>
            <w:r>
              <w:t>Cobranza y pendientes</w:t>
            </w:r>
          </w:p>
        </w:tc>
      </w:tr>
      <w:tr>
        <w:tc>
          <w:tcPr>
            <w:tcW w:type="dxa" w:w="3264"/>
          </w:tcPr>
          <w:p>
            <w:r>
              <w:t>Correo</w:t>
            </w:r>
          </w:p>
        </w:tc>
        <w:tc>
          <w:tcPr>
            <w:tcW w:type="dxa" w:w="3264"/>
          </w:tcPr>
          <w:p>
            <w:r>
              <w:t>HU-COR-001 a 009</w:t>
            </w:r>
          </w:p>
        </w:tc>
        <w:tc>
          <w:tcPr>
            <w:tcW w:type="dxa" w:w="3264"/>
          </w:tcPr>
          <w:p>
            <w:r>
              <w:t>Mailcow, buzones, seguridad y validación</w:t>
            </w:r>
          </w:p>
        </w:tc>
      </w:tr>
      <w:tr>
        <w:tc>
          <w:tcPr>
            <w:tcW w:type="dxa" w:w="3264"/>
          </w:tcPr>
          <w:p>
            <w:r>
              <w:t>Frontend específico</w:t>
            </w:r>
          </w:p>
        </w:tc>
        <w:tc>
          <w:tcPr>
            <w:tcW w:type="dxa" w:w="3264"/>
          </w:tcPr>
          <w:p>
            <w:r>
              <w:t>HU-WEB-001 a 010</w:t>
            </w:r>
          </w:p>
        </w:tc>
        <w:tc>
          <w:tcPr>
            <w:tcW w:type="dxa" w:w="3264"/>
          </w:tcPr>
          <w:p>
            <w:r>
              <w:t>Tecnología web, vistas e integración API</w:t>
            </w:r>
          </w:p>
        </w:tc>
      </w:tr>
    </w:tbl>
    <w:p/>
    <w:p>
      <w:pPr>
        <w:pStyle w:val="Heading1"/>
      </w:pPr>
      <w:r>
        <w:t>Dependencias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7324D"/>
          </w:tcPr>
          <w:p>
            <w:r>
              <w:rPr>
                <w:color w:val="FFFFFF"/>
              </w:rPr>
              <w:t>Origen</w:t>
            </w:r>
          </w:p>
        </w:tc>
        <w:tc>
          <w:tcPr>
            <w:tcW w:type="dxa" w:w="3264"/>
            <w:shd w:fill="17324D"/>
          </w:tcPr>
          <w:p>
            <w:r>
              <w:rPr>
                <w:color w:val="FFFFFF"/>
              </w:rPr>
              <w:t>Depende de</w:t>
            </w:r>
          </w:p>
        </w:tc>
        <w:tc>
          <w:tcPr>
            <w:tcW w:type="dxa" w:w="3264"/>
            <w:shd w:fill="17324D"/>
          </w:tcPr>
          <w:p>
            <w:r>
              <w:rPr>
                <w:color w:val="FFFFFF"/>
              </w:rPr>
              <w:t>Criterio</w:t>
            </w:r>
          </w:p>
        </w:tc>
      </w:tr>
      <w:tr>
        <w:tc>
          <w:tcPr>
            <w:tcW w:type="dxa" w:w="3264"/>
          </w:tcPr>
          <w:p>
            <w:r>
              <w:t>Login frontend</w:t>
            </w:r>
          </w:p>
        </w:tc>
        <w:tc>
          <w:tcPr>
            <w:tcW w:type="dxa" w:w="3264"/>
          </w:tcPr>
          <w:p>
            <w:r>
              <w:t>API autenticación</w:t>
            </w:r>
          </w:p>
        </w:tc>
        <w:tc>
          <w:tcPr>
            <w:tcW w:type="dxa" w:w="3264"/>
          </w:tcPr>
          <w:p>
            <w:r>
              <w:t>Contrato y flujo de tokens</w:t>
            </w:r>
          </w:p>
        </w:tc>
      </w:tr>
      <w:tr>
        <w:tc>
          <w:tcPr>
            <w:tcW w:type="dxa" w:w="3264"/>
          </w:tcPr>
          <w:p>
            <w:r>
              <w:t>Usuarios web</w:t>
            </w:r>
          </w:p>
        </w:tc>
        <w:tc>
          <w:tcPr>
            <w:tcW w:type="dxa" w:w="3264"/>
          </w:tcPr>
          <w:p>
            <w:r>
              <w:t>API usuarios/roles</w:t>
            </w:r>
          </w:p>
        </w:tc>
        <w:tc>
          <w:tcPr>
            <w:tcW w:type="dxa" w:w="3264"/>
          </w:tcPr>
          <w:p>
            <w:r>
              <w:t>Permisos y datos persistentes</w:t>
            </w:r>
          </w:p>
        </w:tc>
      </w:tr>
      <w:tr>
        <w:tc>
          <w:tcPr>
            <w:tcW w:type="dxa" w:w="3264"/>
          </w:tcPr>
          <w:p>
            <w:r>
              <w:t>Venta web</w:t>
            </w:r>
          </w:p>
        </w:tc>
        <w:tc>
          <w:tcPr>
            <w:tcW w:type="dxa" w:w="3264"/>
          </w:tcPr>
          <w:p>
            <w:r>
              <w:t>Tarifas/BD/API</w:t>
            </w:r>
          </w:p>
        </w:tc>
        <w:tc>
          <w:tcPr>
            <w:tcW w:type="dxa" w:w="3264"/>
          </w:tcPr>
          <w:p>
            <w:r>
              <w:t>Totales coincidentes</w:t>
            </w:r>
          </w:p>
        </w:tc>
      </w:tr>
      <w:tr>
        <w:tc>
          <w:tcPr>
            <w:tcW w:type="dxa" w:w="3264"/>
          </w:tcPr>
          <w:p>
            <w:r>
              <w:t>Bodega móvil</w:t>
            </w:r>
          </w:p>
        </w:tc>
        <w:tc>
          <w:tcPr>
            <w:tcW w:type="dxa" w:w="3264"/>
          </w:tcPr>
          <w:p>
            <w:r>
              <w:t>OT + API posiciones</w:t>
            </w:r>
          </w:p>
        </w:tc>
        <w:tc>
          <w:tcPr>
            <w:tcW w:type="dxa" w:w="3264"/>
          </w:tcPr>
          <w:p>
            <w:r>
              <w:t>Estados y evidencia_url</w:t>
            </w:r>
          </w:p>
        </w:tc>
      </w:tr>
      <w:tr>
        <w:tc>
          <w:tcPr>
            <w:tcW w:type="dxa" w:w="3264"/>
          </w:tcPr>
          <w:p>
            <w:r>
              <w:t>Monitoreo web</w:t>
            </w:r>
          </w:p>
        </w:tc>
        <w:tc>
          <w:tcPr>
            <w:tcW w:type="dxa" w:w="3264"/>
          </w:tcPr>
          <w:p>
            <w:r>
              <w:t>API eventos/estados</w:t>
            </w:r>
          </w:p>
        </w:tc>
        <w:tc>
          <w:tcPr>
            <w:tcW w:type="dxa" w:w="3264"/>
          </w:tcPr>
          <w:p>
            <w:r>
              <w:t>Datos reales y actualización</w:t>
            </w:r>
          </w:p>
        </w:tc>
      </w:tr>
      <w:tr>
        <w:tc>
          <w:tcPr>
            <w:tcW w:type="dxa" w:w="3264"/>
          </w:tcPr>
          <w:p>
            <w:r>
              <w:t>Correo de recuperación</w:t>
            </w:r>
          </w:p>
        </w:tc>
        <w:tc>
          <w:tcPr>
            <w:tcW w:type="dxa" w:w="3264"/>
          </w:tcPr>
          <w:p>
            <w:r>
              <w:t>SMTP de aplicación</w:t>
            </w:r>
          </w:p>
        </w:tc>
        <w:tc>
          <w:tcPr>
            <w:tcW w:type="dxa" w:w="3264"/>
          </w:tcPr>
          <w:p>
            <w:r>
              <w:t>Entrega de código y expiración</w:t>
            </w:r>
          </w:p>
        </w:tc>
      </w:tr>
    </w:tbl>
    <w:p/>
    <w:p>
      <w:pPr>
        <w:pStyle w:val="Heading1"/>
      </w:pPr>
      <w:r>
        <w:t>Política de duplicados</w:t>
      </w:r>
    </w:p>
    <w:p>
      <w:pPr>
        <w:pStyle w:val="ListBullet"/>
      </w:pPr>
      <w:r>
        <w:t>Una HU transversal puede dar lugar a una tarea técnica por capa, pero no debe confundirse con una HU funcional duplicada.</w:t>
      </w:r>
    </w:p>
    <w:p>
      <w:pPr>
        <w:pStyle w:val="ListBullet"/>
      </w:pPr>
      <w:r>
        <w:t>HU-WEB de acceso/ventas son alcance frontend complementario, mientras HU-ACC/HU-VEN representan capacidad funcional.</w:t>
      </w:r>
    </w:p>
    <w:p>
      <w:pPr>
        <w:pStyle w:val="ListBullet"/>
      </w:pPr>
      <w:r>
        <w:t>HU-COR son trabajos de infraestructura y no alteran los requisitos funcionales de logística.</w:t>
      </w:r>
    </w:p>
    <w:p>
      <w:pPr>
        <w:pStyle w:val="Heading1"/>
      </w:pPr>
      <w:r>
        <w:t>Exportación pendiente</w:t>
      </w:r>
    </w:p>
    <w:p>
      <w:r>
        <w:t>Adjuntar como anexo la exportación CSV/JSON de Trello con: código, título, lista, sprint, Story Points, miembro asignado, criterios, fecha de cierre y evidencia. Las personas escritas en descripciones no son equivalentes a miembros asignados con avatar.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Documento controlado · v1.0 · Octubre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VIALNEX  /  DOCUMENTACIÓN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E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5B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2E4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