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81" w:rsidRDefault="00CF0133" w:rsidP="00CF0133">
      <w:pPr>
        <w:pBdr>
          <w:bottom w:val="single" w:sz="4" w:space="1" w:color="auto"/>
        </w:pBdr>
        <w:tabs>
          <w:tab w:val="left" w:pos="4516"/>
          <w:tab w:val="center" w:pos="7001"/>
        </w:tabs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4F00D9">
        <w:rPr>
          <w:b/>
        </w:rPr>
        <w:t>TIPOS DE INCIDENTES A MONITOREAR</w:t>
      </w:r>
    </w:p>
    <w:p w:rsidR="00CF0133" w:rsidRDefault="00CF0133" w:rsidP="004F00D9">
      <w:pPr>
        <w:jc w:val="center"/>
        <w:rPr>
          <w:b/>
        </w:rPr>
      </w:pPr>
      <w:r>
        <w:rPr>
          <w:b/>
        </w:rPr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4"/>
        <w:gridCol w:w="4664"/>
      </w:tblGrid>
      <w:tr w:rsidR="00CF0133" w:rsidTr="007D1B50">
        <w:tc>
          <w:tcPr>
            <w:tcW w:w="4664" w:type="dxa"/>
          </w:tcPr>
          <w:p w:rsidR="00CF0133" w:rsidRDefault="00CF0133" w:rsidP="004F00D9">
            <w:pPr>
              <w:jc w:val="center"/>
              <w:rPr>
                <w:b/>
              </w:rPr>
            </w:pPr>
            <w:r>
              <w:rPr>
                <w:b/>
              </w:rPr>
              <w:t xml:space="preserve">Versión </w:t>
            </w:r>
          </w:p>
        </w:tc>
        <w:tc>
          <w:tcPr>
            <w:tcW w:w="4664" w:type="dxa"/>
          </w:tcPr>
          <w:p w:rsidR="00CF0133" w:rsidRDefault="00CF0133" w:rsidP="004F00D9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64" w:type="dxa"/>
          </w:tcPr>
          <w:p w:rsidR="00CF0133" w:rsidRDefault="00CF0133" w:rsidP="004F00D9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</w:tr>
      <w:tr w:rsidR="00CF0133" w:rsidTr="007D1B50">
        <w:tc>
          <w:tcPr>
            <w:tcW w:w="4664" w:type="dxa"/>
          </w:tcPr>
          <w:p w:rsidR="00CF0133" w:rsidRPr="00CF0133" w:rsidRDefault="00CF0133" w:rsidP="004F00D9">
            <w:pPr>
              <w:jc w:val="center"/>
            </w:pPr>
            <w:r w:rsidRPr="00CF0133">
              <w:t>1.0</w:t>
            </w:r>
          </w:p>
        </w:tc>
        <w:tc>
          <w:tcPr>
            <w:tcW w:w="4664" w:type="dxa"/>
          </w:tcPr>
          <w:p w:rsidR="00CF0133" w:rsidRPr="00CF0133" w:rsidRDefault="00CF0133" w:rsidP="004F00D9">
            <w:pPr>
              <w:jc w:val="center"/>
            </w:pPr>
            <w:r w:rsidRPr="00CF0133">
              <w:t>Joel Moreno</w:t>
            </w:r>
          </w:p>
        </w:tc>
        <w:tc>
          <w:tcPr>
            <w:tcW w:w="4664" w:type="dxa"/>
          </w:tcPr>
          <w:p w:rsidR="00CF0133" w:rsidRPr="00CF0133" w:rsidRDefault="00CF0133" w:rsidP="00265654">
            <w:pPr>
              <w:jc w:val="center"/>
            </w:pPr>
            <w:r>
              <w:t>Creación del documento</w:t>
            </w:r>
          </w:p>
        </w:tc>
      </w:tr>
    </w:tbl>
    <w:p w:rsidR="00CF0133" w:rsidRDefault="00CF0133" w:rsidP="004F00D9">
      <w:pPr>
        <w:jc w:val="center"/>
        <w:rPr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316"/>
        <w:gridCol w:w="1615"/>
        <w:gridCol w:w="1041"/>
        <w:gridCol w:w="11021"/>
      </w:tblGrid>
      <w:tr w:rsidR="00E727D7" w:rsidRPr="00062627" w:rsidTr="00062627">
        <w:trPr>
          <w:tblHeader/>
        </w:trPr>
        <w:tc>
          <w:tcPr>
            <w:tcW w:w="113" w:type="pct"/>
          </w:tcPr>
          <w:p w:rsidR="00E727D7" w:rsidRPr="00062627" w:rsidRDefault="00E727D7" w:rsidP="004D361D">
            <w:pPr>
              <w:jc w:val="left"/>
              <w:rPr>
                <w:b/>
                <w:sz w:val="22"/>
              </w:rPr>
            </w:pPr>
            <w:r w:rsidRPr="00062627">
              <w:rPr>
                <w:b/>
                <w:sz w:val="22"/>
              </w:rPr>
              <w:t>#</w:t>
            </w:r>
          </w:p>
        </w:tc>
        <w:tc>
          <w:tcPr>
            <w:tcW w:w="577" w:type="pct"/>
          </w:tcPr>
          <w:p w:rsidR="00E727D7" w:rsidRPr="00062627" w:rsidRDefault="00E727D7" w:rsidP="004D361D">
            <w:pPr>
              <w:jc w:val="left"/>
              <w:rPr>
                <w:b/>
                <w:sz w:val="22"/>
              </w:rPr>
            </w:pPr>
            <w:r w:rsidRPr="00062627">
              <w:rPr>
                <w:b/>
                <w:sz w:val="22"/>
              </w:rPr>
              <w:t>Incidente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b/>
                <w:sz w:val="22"/>
              </w:rPr>
            </w:pPr>
            <w:r w:rsidRPr="00062627">
              <w:rPr>
                <w:b/>
                <w:sz w:val="22"/>
              </w:rPr>
              <w:t>Resp.</w:t>
            </w:r>
          </w:p>
        </w:tc>
        <w:tc>
          <w:tcPr>
            <w:tcW w:w="3938" w:type="pct"/>
          </w:tcPr>
          <w:p w:rsidR="00E727D7" w:rsidRPr="00062627" w:rsidRDefault="00E727D7" w:rsidP="004D361D">
            <w:pPr>
              <w:jc w:val="left"/>
              <w:rPr>
                <w:b/>
                <w:sz w:val="22"/>
              </w:rPr>
            </w:pPr>
            <w:r w:rsidRPr="00062627">
              <w:rPr>
                <w:b/>
                <w:sz w:val="22"/>
              </w:rPr>
              <w:t>Condición de ocurrencia</w:t>
            </w:r>
          </w:p>
        </w:tc>
      </w:tr>
      <w:tr w:rsidR="00E727D7" w:rsidRPr="00062627" w:rsidTr="00062627">
        <w:tc>
          <w:tcPr>
            <w:tcW w:w="113" w:type="pct"/>
          </w:tcPr>
          <w:p w:rsidR="00E727D7" w:rsidRPr="00062627" w:rsidRDefault="00E727D7" w:rsidP="004D361D">
            <w:pPr>
              <w:rPr>
                <w:sz w:val="22"/>
              </w:rPr>
            </w:pPr>
            <w:r w:rsidRPr="00062627">
              <w:rPr>
                <w:sz w:val="22"/>
              </w:rPr>
              <w:t>6</w:t>
            </w:r>
          </w:p>
        </w:tc>
        <w:tc>
          <w:tcPr>
            <w:tcW w:w="577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Incumplimiento de la Frecuencia de Lectura 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Entidad</w:t>
            </w:r>
          </w:p>
        </w:tc>
        <w:tc>
          <w:tcPr>
            <w:tcW w:w="3938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Ocurre si: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4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La diferencia de tiempo entre la fecha y hora actual y la última fecha y hora de la llamada a la operación obtenerTransaccionesPendientes y obtenerTransaccionesPendientesConLimite del servicio VUCE-ENTIDAD por parte de una entidad es superior a XX minutos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4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y la entidad no se encuentra en período de mantenimiento </w:t>
            </w:r>
          </w:p>
          <w:p w:rsidR="00E727D7" w:rsidRPr="00062627" w:rsidRDefault="00E727D7" w:rsidP="008A069A">
            <w:pPr>
              <w:jc w:val="left"/>
              <w:rPr>
                <w:sz w:val="22"/>
              </w:rPr>
            </w:pPr>
          </w:p>
          <w:p w:rsidR="00E727D7" w:rsidRPr="00062627" w:rsidRDefault="00E727D7" w:rsidP="008A069A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Nota: Hay que implementar una pantalla para registrar los periodo de mantenimiento de cada entidad</w:t>
            </w:r>
          </w:p>
        </w:tc>
      </w:tr>
      <w:tr w:rsidR="00E727D7" w:rsidRPr="00062627" w:rsidTr="00062627">
        <w:tc>
          <w:tcPr>
            <w:tcW w:w="113" w:type="pct"/>
          </w:tcPr>
          <w:p w:rsidR="00E727D7" w:rsidRPr="00062627" w:rsidRDefault="00E727D7" w:rsidP="004D361D">
            <w:pPr>
              <w:rPr>
                <w:sz w:val="22"/>
              </w:rPr>
            </w:pPr>
            <w:r w:rsidRPr="00062627">
              <w:rPr>
                <w:sz w:val="22"/>
              </w:rPr>
              <w:t>1</w:t>
            </w:r>
          </w:p>
        </w:tc>
        <w:tc>
          <w:tcPr>
            <w:tcW w:w="577" w:type="pct"/>
          </w:tcPr>
          <w:p w:rsidR="00E727D7" w:rsidRPr="00062627" w:rsidRDefault="002C4F38" w:rsidP="004D361D">
            <w:pPr>
              <w:tabs>
                <w:tab w:val="center" w:pos="1094"/>
              </w:tabs>
              <w:jc w:val="left"/>
              <w:rPr>
                <w:sz w:val="22"/>
              </w:rPr>
            </w:pPr>
            <w:r w:rsidRPr="002C4F38">
              <w:rPr>
                <w:sz w:val="22"/>
                <w:highlight w:val="yellow"/>
              </w:rPr>
              <w:t>Incumplimiento de acuerdo de confirmación de una transmisión de salida (responsabilidad de la entidad)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Entidad</w:t>
            </w:r>
          </w:p>
        </w:tc>
        <w:tc>
          <w:tcPr>
            <w:tcW w:w="3938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Ocurre si una </w:t>
            </w:r>
            <w:r w:rsidRPr="00FC66D7">
              <w:rPr>
                <w:sz w:val="22"/>
                <w:highlight w:val="yellow"/>
              </w:rPr>
              <w:t>trans</w:t>
            </w:r>
            <w:r w:rsidR="00FC66D7" w:rsidRPr="00FC66D7">
              <w:rPr>
                <w:sz w:val="22"/>
                <w:highlight w:val="yellow"/>
              </w:rPr>
              <w:t>mis</w:t>
            </w:r>
            <w:r w:rsidRPr="00FC66D7">
              <w:rPr>
                <w:sz w:val="22"/>
                <w:highlight w:val="yellow"/>
              </w:rPr>
              <w:t>ión</w:t>
            </w:r>
            <w:r w:rsidR="00FC66D7" w:rsidRPr="00FC66D7">
              <w:rPr>
                <w:sz w:val="22"/>
                <w:highlight w:val="yellow"/>
              </w:rPr>
              <w:t xml:space="preserve"> de salida</w:t>
            </w:r>
            <w:r w:rsidRPr="00062627">
              <w:rPr>
                <w:sz w:val="22"/>
              </w:rPr>
              <w:t>: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20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ha sido leída por la entidad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20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y no ha sido confirmada</w:t>
            </w:r>
          </w:p>
          <w:p w:rsidR="00E727D7" w:rsidRPr="00062627" w:rsidRDefault="00E727D7" w:rsidP="002C4F38">
            <w:pPr>
              <w:pStyle w:val="Prrafodelista"/>
              <w:numPr>
                <w:ilvl w:val="0"/>
                <w:numId w:val="20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y la diferencia entre la fecha y hora actual y la fecha y hora de </w:t>
            </w:r>
            <w:r w:rsidR="002C4F38" w:rsidRPr="002C4F38">
              <w:rPr>
                <w:sz w:val="22"/>
                <w:highlight w:val="yellow"/>
              </w:rPr>
              <w:t>registro</w:t>
            </w:r>
            <w:r w:rsidRPr="00062627">
              <w:rPr>
                <w:sz w:val="22"/>
              </w:rPr>
              <w:t xml:space="preserve"> de la </w:t>
            </w:r>
            <w:r w:rsidRPr="002C4F38">
              <w:rPr>
                <w:sz w:val="22"/>
                <w:highlight w:val="yellow"/>
              </w:rPr>
              <w:t>trans</w:t>
            </w:r>
            <w:r w:rsidR="002C4F38" w:rsidRPr="002C4F38">
              <w:rPr>
                <w:sz w:val="22"/>
                <w:highlight w:val="yellow"/>
              </w:rPr>
              <w:t>mis</w:t>
            </w:r>
            <w:r w:rsidRPr="002C4F38">
              <w:rPr>
                <w:sz w:val="22"/>
                <w:highlight w:val="yellow"/>
              </w:rPr>
              <w:t>ión</w:t>
            </w:r>
            <w:r w:rsidR="002C4F38" w:rsidRPr="002C4F38">
              <w:rPr>
                <w:sz w:val="22"/>
                <w:highlight w:val="yellow"/>
              </w:rPr>
              <w:t xml:space="preserve"> de salida</w:t>
            </w:r>
            <w:r w:rsidRPr="00062627">
              <w:rPr>
                <w:sz w:val="22"/>
              </w:rPr>
              <w:t xml:space="preserve"> es superior a XX minutos</w:t>
            </w:r>
          </w:p>
        </w:tc>
      </w:tr>
      <w:tr w:rsidR="00E727D7" w:rsidRPr="00062627" w:rsidTr="00062627">
        <w:tc>
          <w:tcPr>
            <w:tcW w:w="113" w:type="pct"/>
          </w:tcPr>
          <w:p w:rsidR="00E727D7" w:rsidRPr="00062627" w:rsidRDefault="00E727D7" w:rsidP="00927279">
            <w:pPr>
              <w:rPr>
                <w:sz w:val="22"/>
              </w:rPr>
            </w:pPr>
            <w:r w:rsidRPr="00062627">
              <w:rPr>
                <w:sz w:val="22"/>
              </w:rPr>
              <w:t>2</w:t>
            </w:r>
          </w:p>
        </w:tc>
        <w:tc>
          <w:tcPr>
            <w:tcW w:w="577" w:type="pct"/>
          </w:tcPr>
          <w:p w:rsidR="00E727D7" w:rsidRPr="00062627" w:rsidRDefault="00BE04F0" w:rsidP="004D361D">
            <w:pPr>
              <w:rPr>
                <w:sz w:val="22"/>
              </w:rPr>
            </w:pPr>
            <w:r w:rsidRPr="00BE04F0">
              <w:rPr>
                <w:sz w:val="22"/>
                <w:highlight w:val="yellow"/>
              </w:rPr>
              <w:t>Transmisión de salida confirmada con error (responsabilidad de la entidad)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Entidad</w:t>
            </w:r>
          </w:p>
        </w:tc>
        <w:tc>
          <w:tcPr>
            <w:tcW w:w="3938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Ocurre si una </w:t>
            </w:r>
            <w:r w:rsidR="00555D2D" w:rsidRPr="00FC66D7">
              <w:rPr>
                <w:sz w:val="22"/>
                <w:highlight w:val="yellow"/>
              </w:rPr>
              <w:t>transmisión de salida</w:t>
            </w:r>
            <w:r w:rsidRPr="00062627">
              <w:rPr>
                <w:sz w:val="22"/>
              </w:rPr>
              <w:t>: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ha sido leído por la entidad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y ha sido confirmada con errores</w:t>
            </w:r>
          </w:p>
        </w:tc>
      </w:tr>
      <w:tr w:rsidR="00E727D7" w:rsidRPr="00062627" w:rsidTr="00062627">
        <w:tc>
          <w:tcPr>
            <w:tcW w:w="113" w:type="pct"/>
          </w:tcPr>
          <w:p w:rsidR="00E727D7" w:rsidRPr="00062627" w:rsidRDefault="00E727D7" w:rsidP="00927279">
            <w:pPr>
              <w:rPr>
                <w:sz w:val="22"/>
              </w:rPr>
            </w:pPr>
            <w:r w:rsidRPr="00062627">
              <w:rPr>
                <w:sz w:val="22"/>
              </w:rPr>
              <w:lastRenderedPageBreak/>
              <w:t>3</w:t>
            </w:r>
          </w:p>
        </w:tc>
        <w:tc>
          <w:tcPr>
            <w:tcW w:w="577" w:type="pct"/>
          </w:tcPr>
          <w:p w:rsidR="00E727D7" w:rsidRPr="00062627" w:rsidRDefault="00D05D55" w:rsidP="00D05D55">
            <w:pPr>
              <w:jc w:val="left"/>
              <w:rPr>
                <w:sz w:val="22"/>
              </w:rPr>
            </w:pPr>
            <w:r w:rsidRPr="00D05D55">
              <w:rPr>
                <w:sz w:val="22"/>
                <w:highlight w:val="yellow"/>
              </w:rPr>
              <w:t>Transmisión de entrada procesada con errores (responsabilidad de VUCE)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VUCE</w:t>
            </w:r>
          </w:p>
        </w:tc>
        <w:tc>
          <w:tcPr>
            <w:tcW w:w="3938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Ocurre si una </w:t>
            </w:r>
            <w:r w:rsidR="00517C11" w:rsidRPr="007A3564">
              <w:rPr>
                <w:sz w:val="22"/>
                <w:highlight w:val="yellow"/>
              </w:rPr>
              <w:t>transmisión de entrada</w:t>
            </w:r>
            <w:r w:rsidRPr="00062627">
              <w:rPr>
                <w:sz w:val="22"/>
              </w:rPr>
              <w:t>: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ha sido enviada por la entidad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y ha sido procesada incorrectamente en VUCE-ENTIDAD o en VUCE-CENTRAL</w:t>
            </w:r>
          </w:p>
          <w:p w:rsidR="00E727D7" w:rsidRPr="00062627" w:rsidRDefault="00E727D7" w:rsidP="004D361D">
            <w:pPr>
              <w:jc w:val="left"/>
              <w:rPr>
                <w:sz w:val="22"/>
              </w:rPr>
            </w:pPr>
          </w:p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Nota: Al costado de la notificación se debe adicionar un botón que invoque a procedimiento almacenado que ponga la notificación en un estado ANULADO para que no vuelva a aparecer</w:t>
            </w:r>
          </w:p>
        </w:tc>
      </w:tr>
      <w:tr w:rsidR="00E727D7" w:rsidRPr="00062627" w:rsidTr="00062627">
        <w:tc>
          <w:tcPr>
            <w:tcW w:w="113" w:type="pct"/>
          </w:tcPr>
          <w:p w:rsidR="00E727D7" w:rsidRPr="00062627" w:rsidRDefault="00E727D7" w:rsidP="004D361D">
            <w:pPr>
              <w:rPr>
                <w:sz w:val="22"/>
              </w:rPr>
            </w:pPr>
            <w:r w:rsidRPr="00062627">
              <w:rPr>
                <w:sz w:val="22"/>
              </w:rPr>
              <w:t>4</w:t>
            </w:r>
          </w:p>
        </w:tc>
        <w:tc>
          <w:tcPr>
            <w:tcW w:w="577" w:type="pct"/>
          </w:tcPr>
          <w:p w:rsidR="00E727D7" w:rsidRPr="00062627" w:rsidRDefault="008121A3" w:rsidP="004D361D">
            <w:pPr>
              <w:jc w:val="left"/>
              <w:rPr>
                <w:sz w:val="22"/>
              </w:rPr>
            </w:pPr>
            <w:r w:rsidRPr="008121A3">
              <w:rPr>
                <w:sz w:val="22"/>
                <w:highlight w:val="yellow"/>
              </w:rPr>
              <w:t>Incumplimiento del tiempo de procesamiento de una transmisión de entrada</w:t>
            </w:r>
            <w:r w:rsidR="009A088B">
              <w:rPr>
                <w:sz w:val="22"/>
                <w:highlight w:val="yellow"/>
              </w:rPr>
              <w:t xml:space="preserve"> </w:t>
            </w:r>
            <w:r w:rsidRPr="008121A3">
              <w:rPr>
                <w:sz w:val="22"/>
                <w:highlight w:val="yellow"/>
              </w:rPr>
              <w:t>(responsabilidad VUCE)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VUCE</w:t>
            </w:r>
          </w:p>
        </w:tc>
        <w:tc>
          <w:tcPr>
            <w:tcW w:w="3938" w:type="pct"/>
          </w:tcPr>
          <w:p w:rsidR="001C58A8" w:rsidRPr="00062627" w:rsidRDefault="00E727D7" w:rsidP="001C58A8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Ocurre si una </w:t>
            </w:r>
            <w:r w:rsidR="001C58A8" w:rsidRPr="007A3564">
              <w:rPr>
                <w:sz w:val="22"/>
                <w:highlight w:val="yellow"/>
              </w:rPr>
              <w:t>transmisión de entrada</w:t>
            </w:r>
            <w:r w:rsidR="001C58A8" w:rsidRPr="00062627">
              <w:rPr>
                <w:sz w:val="22"/>
              </w:rPr>
              <w:t>: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ha sido enviada por la entidad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y no ha sido procesada por VUCE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y ha transcurrido un tiempo superior o igual a XX minutos desde que fue recibida  </w:t>
            </w:r>
          </w:p>
          <w:p w:rsidR="00E727D7" w:rsidRPr="00062627" w:rsidRDefault="00E727D7" w:rsidP="004D361D">
            <w:pPr>
              <w:jc w:val="left"/>
              <w:rPr>
                <w:sz w:val="22"/>
              </w:rPr>
            </w:pPr>
          </w:p>
        </w:tc>
      </w:tr>
      <w:tr w:rsidR="00E727D7" w:rsidRPr="00697F62" w:rsidTr="00062627">
        <w:tc>
          <w:tcPr>
            <w:tcW w:w="113" w:type="pct"/>
          </w:tcPr>
          <w:p w:rsidR="00E727D7" w:rsidRPr="00062627" w:rsidRDefault="00E727D7" w:rsidP="004D361D">
            <w:pPr>
              <w:rPr>
                <w:sz w:val="22"/>
              </w:rPr>
            </w:pPr>
            <w:r w:rsidRPr="00062627">
              <w:rPr>
                <w:sz w:val="22"/>
              </w:rPr>
              <w:t>5</w:t>
            </w:r>
          </w:p>
        </w:tc>
        <w:tc>
          <w:tcPr>
            <w:tcW w:w="577" w:type="pct"/>
          </w:tcPr>
          <w:p w:rsidR="00E727D7" w:rsidRPr="00062627" w:rsidRDefault="009A088B" w:rsidP="004D361D">
            <w:pPr>
              <w:jc w:val="left"/>
              <w:rPr>
                <w:sz w:val="22"/>
              </w:rPr>
            </w:pPr>
            <w:r w:rsidRPr="009A088B">
              <w:rPr>
                <w:sz w:val="22"/>
                <w:highlight w:val="yellow"/>
              </w:rPr>
              <w:t>Incumplimiento de acuerdo de disponibilidad de una transmisión de salida (responsabilidad de VUCE)</w:t>
            </w:r>
          </w:p>
        </w:tc>
        <w:tc>
          <w:tcPr>
            <w:tcW w:w="372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>VUCE</w:t>
            </w:r>
          </w:p>
        </w:tc>
        <w:tc>
          <w:tcPr>
            <w:tcW w:w="3938" w:type="pct"/>
          </w:tcPr>
          <w:p w:rsidR="00E727D7" w:rsidRPr="00062627" w:rsidRDefault="00E727D7" w:rsidP="004D361D">
            <w:p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Ocurre si una </w:t>
            </w:r>
            <w:r w:rsidR="009A088B" w:rsidRPr="007A3564">
              <w:rPr>
                <w:sz w:val="22"/>
                <w:highlight w:val="yellow"/>
              </w:rPr>
              <w:t>transmisión de salida</w:t>
            </w:r>
            <w:r w:rsidRPr="00062627">
              <w:rPr>
                <w:sz w:val="22"/>
              </w:rPr>
              <w:t>:</w:t>
            </w:r>
          </w:p>
          <w:p w:rsidR="00E727D7" w:rsidRPr="00062627" w:rsidRDefault="00E727D7" w:rsidP="004D361D">
            <w:pPr>
              <w:pStyle w:val="Prrafodelista"/>
              <w:numPr>
                <w:ilvl w:val="0"/>
                <w:numId w:val="14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 xml:space="preserve">ha sido creada en VUCE-CENTRAL </w:t>
            </w:r>
            <w:bookmarkStart w:id="0" w:name="_GoBack"/>
            <w:bookmarkEnd w:id="0"/>
          </w:p>
          <w:p w:rsidR="00E727D7" w:rsidRPr="00062627" w:rsidRDefault="00E727D7" w:rsidP="008A069A">
            <w:pPr>
              <w:pStyle w:val="Prrafodelista"/>
              <w:numPr>
                <w:ilvl w:val="0"/>
                <w:numId w:val="14"/>
              </w:numPr>
              <w:jc w:val="left"/>
              <w:rPr>
                <w:sz w:val="22"/>
              </w:rPr>
            </w:pPr>
            <w:r w:rsidRPr="00062627">
              <w:rPr>
                <w:sz w:val="22"/>
              </w:rPr>
              <w:t>y no ha sido transferida a VUCE-ENTIDAD en un periodo de tiempo mayor o igual a XX minutos</w:t>
            </w:r>
          </w:p>
        </w:tc>
      </w:tr>
    </w:tbl>
    <w:p w:rsidR="00A75318" w:rsidRDefault="00A75318"/>
    <w:sectPr w:rsidR="00A75318" w:rsidSect="007C7E08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093" w:rsidRDefault="00D64093" w:rsidP="00A75318">
      <w:pPr>
        <w:spacing w:before="0" w:line="240" w:lineRule="auto"/>
      </w:pPr>
      <w:r>
        <w:separator/>
      </w:r>
    </w:p>
  </w:endnote>
  <w:endnote w:type="continuationSeparator" w:id="0">
    <w:p w:rsidR="00D64093" w:rsidRDefault="00D64093" w:rsidP="00A753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093" w:rsidRDefault="00D64093" w:rsidP="00A75318">
      <w:pPr>
        <w:spacing w:before="0" w:line="240" w:lineRule="auto"/>
      </w:pPr>
      <w:r>
        <w:separator/>
      </w:r>
    </w:p>
  </w:footnote>
  <w:footnote w:type="continuationSeparator" w:id="0">
    <w:p w:rsidR="00D64093" w:rsidRDefault="00D64093" w:rsidP="00A7531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7D0F"/>
    <w:multiLevelType w:val="hybridMultilevel"/>
    <w:tmpl w:val="42D8EC5A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247758"/>
    <w:multiLevelType w:val="hybridMultilevel"/>
    <w:tmpl w:val="74289432"/>
    <w:lvl w:ilvl="0" w:tplc="F912DA76">
      <w:numFmt w:val="bullet"/>
      <w:lvlText w:val="•"/>
      <w:lvlJc w:val="left"/>
      <w:pPr>
        <w:ind w:left="699" w:hanging="645"/>
      </w:pPr>
      <w:rPr>
        <w:rFonts w:ascii="Calibri Light" w:eastAsia="MS Mincho" w:hAnsi="Calibri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6740"/>
    <w:multiLevelType w:val="hybridMultilevel"/>
    <w:tmpl w:val="AF942C3C"/>
    <w:lvl w:ilvl="0" w:tplc="F912DA76">
      <w:numFmt w:val="bullet"/>
      <w:lvlText w:val="•"/>
      <w:lvlJc w:val="left"/>
      <w:pPr>
        <w:ind w:left="699" w:hanging="645"/>
      </w:pPr>
      <w:rPr>
        <w:rFonts w:ascii="Calibri Light" w:eastAsia="MS Mincho" w:hAnsi="Calibri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B6D52"/>
    <w:multiLevelType w:val="hybridMultilevel"/>
    <w:tmpl w:val="8892AF52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705D85"/>
    <w:multiLevelType w:val="hybridMultilevel"/>
    <w:tmpl w:val="0C04686E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9836EFF"/>
    <w:multiLevelType w:val="hybridMultilevel"/>
    <w:tmpl w:val="D6BC826A"/>
    <w:lvl w:ilvl="0" w:tplc="F912DA76">
      <w:numFmt w:val="bullet"/>
      <w:lvlText w:val="•"/>
      <w:lvlJc w:val="left"/>
      <w:pPr>
        <w:ind w:left="699" w:hanging="645"/>
      </w:pPr>
      <w:rPr>
        <w:rFonts w:ascii="Calibri Light" w:eastAsia="MS Mincho" w:hAnsi="Calibri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C6DBA"/>
    <w:multiLevelType w:val="hybridMultilevel"/>
    <w:tmpl w:val="9638602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C70FEB"/>
    <w:multiLevelType w:val="hybridMultilevel"/>
    <w:tmpl w:val="743C8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A3F9C"/>
    <w:multiLevelType w:val="hybridMultilevel"/>
    <w:tmpl w:val="F878D6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B2B55"/>
    <w:multiLevelType w:val="hybridMultilevel"/>
    <w:tmpl w:val="0F742070"/>
    <w:lvl w:ilvl="0" w:tplc="F912DA76">
      <w:numFmt w:val="bullet"/>
      <w:lvlText w:val="•"/>
      <w:lvlJc w:val="left"/>
      <w:pPr>
        <w:ind w:left="1353" w:hanging="645"/>
      </w:pPr>
      <w:rPr>
        <w:rFonts w:ascii="Calibri Light" w:eastAsia="MS Mincho" w:hAnsi="Calibri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0" w15:restartNumberingAfterBreak="0">
    <w:nsid w:val="38E61B43"/>
    <w:multiLevelType w:val="hybridMultilevel"/>
    <w:tmpl w:val="F51A6E9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178E7"/>
    <w:multiLevelType w:val="hybridMultilevel"/>
    <w:tmpl w:val="EFF2B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31DAA"/>
    <w:multiLevelType w:val="hybridMultilevel"/>
    <w:tmpl w:val="743C8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4E3B"/>
    <w:multiLevelType w:val="hybridMultilevel"/>
    <w:tmpl w:val="5CD27F3C"/>
    <w:lvl w:ilvl="0" w:tplc="F912DA76">
      <w:numFmt w:val="bullet"/>
      <w:lvlText w:val="•"/>
      <w:lvlJc w:val="left"/>
      <w:pPr>
        <w:ind w:left="699" w:hanging="645"/>
      </w:pPr>
      <w:rPr>
        <w:rFonts w:ascii="Calibri Light" w:eastAsia="MS Mincho" w:hAnsi="Calibri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4" w15:restartNumberingAfterBreak="0">
    <w:nsid w:val="51527A7C"/>
    <w:multiLevelType w:val="multilevel"/>
    <w:tmpl w:val="953A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546A" w:themeColor="text2"/>
        <w:sz w:val="48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8476195"/>
    <w:multiLevelType w:val="hybridMultilevel"/>
    <w:tmpl w:val="D0F292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C51ABE"/>
    <w:multiLevelType w:val="hybridMultilevel"/>
    <w:tmpl w:val="F51A6E9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B15726"/>
    <w:multiLevelType w:val="hybridMultilevel"/>
    <w:tmpl w:val="4E941A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60031"/>
    <w:multiLevelType w:val="hybridMultilevel"/>
    <w:tmpl w:val="0BBEF8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46B2B"/>
    <w:multiLevelType w:val="hybridMultilevel"/>
    <w:tmpl w:val="F51A6E9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246355"/>
    <w:multiLevelType w:val="hybridMultilevel"/>
    <w:tmpl w:val="24B6B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223C6"/>
    <w:multiLevelType w:val="hybridMultilevel"/>
    <w:tmpl w:val="409AA7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6B0738"/>
    <w:multiLevelType w:val="hybridMultilevel"/>
    <w:tmpl w:val="297E41AC"/>
    <w:lvl w:ilvl="0" w:tplc="F912DA76">
      <w:numFmt w:val="bullet"/>
      <w:lvlText w:val="•"/>
      <w:lvlJc w:val="left"/>
      <w:pPr>
        <w:ind w:left="1344" w:hanging="645"/>
      </w:pPr>
      <w:rPr>
        <w:rFonts w:ascii="Calibri Light" w:eastAsia="MS Mincho" w:hAnsi="Calibri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 w15:restartNumberingAfterBreak="0">
    <w:nsid w:val="7B995FE5"/>
    <w:multiLevelType w:val="hybridMultilevel"/>
    <w:tmpl w:val="537404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18"/>
  </w:num>
  <w:num w:numId="5">
    <w:abstractNumId w:val="23"/>
  </w:num>
  <w:num w:numId="6">
    <w:abstractNumId w:val="4"/>
  </w:num>
  <w:num w:numId="7">
    <w:abstractNumId w:val="3"/>
  </w:num>
  <w:num w:numId="8">
    <w:abstractNumId w:val="13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22"/>
  </w:num>
  <w:num w:numId="14">
    <w:abstractNumId w:val="11"/>
  </w:num>
  <w:num w:numId="15">
    <w:abstractNumId w:val="6"/>
  </w:num>
  <w:num w:numId="16">
    <w:abstractNumId w:val="21"/>
  </w:num>
  <w:num w:numId="17">
    <w:abstractNumId w:val="17"/>
  </w:num>
  <w:num w:numId="18">
    <w:abstractNumId w:val="20"/>
  </w:num>
  <w:num w:numId="19">
    <w:abstractNumId w:val="15"/>
  </w:num>
  <w:num w:numId="20">
    <w:abstractNumId w:val="8"/>
  </w:num>
  <w:num w:numId="21">
    <w:abstractNumId w:val="19"/>
  </w:num>
  <w:num w:numId="22">
    <w:abstractNumId w:val="10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AC"/>
    <w:rsid w:val="0001496A"/>
    <w:rsid w:val="00062627"/>
    <w:rsid w:val="000677E3"/>
    <w:rsid w:val="000F7E84"/>
    <w:rsid w:val="00173EDD"/>
    <w:rsid w:val="001C58A8"/>
    <w:rsid w:val="001F3C83"/>
    <w:rsid w:val="00240E84"/>
    <w:rsid w:val="0024754A"/>
    <w:rsid w:val="00265654"/>
    <w:rsid w:val="00281F66"/>
    <w:rsid w:val="002901D0"/>
    <w:rsid w:val="002A72DB"/>
    <w:rsid w:val="002C4F38"/>
    <w:rsid w:val="002E1988"/>
    <w:rsid w:val="00335C74"/>
    <w:rsid w:val="00376724"/>
    <w:rsid w:val="003A1958"/>
    <w:rsid w:val="003D12EB"/>
    <w:rsid w:val="004234C2"/>
    <w:rsid w:val="00474AF3"/>
    <w:rsid w:val="00484E3B"/>
    <w:rsid w:val="004857AC"/>
    <w:rsid w:val="004D3E23"/>
    <w:rsid w:val="004F00D9"/>
    <w:rsid w:val="00517C11"/>
    <w:rsid w:val="00555D2D"/>
    <w:rsid w:val="00622AAC"/>
    <w:rsid w:val="00633194"/>
    <w:rsid w:val="006625FF"/>
    <w:rsid w:val="006717CF"/>
    <w:rsid w:val="00697F62"/>
    <w:rsid w:val="007436E2"/>
    <w:rsid w:val="00757423"/>
    <w:rsid w:val="007A3564"/>
    <w:rsid w:val="007A3DE9"/>
    <w:rsid w:val="007A5876"/>
    <w:rsid w:val="007C7E08"/>
    <w:rsid w:val="007D0223"/>
    <w:rsid w:val="008121A3"/>
    <w:rsid w:val="00825C9E"/>
    <w:rsid w:val="0089288A"/>
    <w:rsid w:val="008A069A"/>
    <w:rsid w:val="008D6CD3"/>
    <w:rsid w:val="00917784"/>
    <w:rsid w:val="00926E49"/>
    <w:rsid w:val="00927279"/>
    <w:rsid w:val="009A088B"/>
    <w:rsid w:val="009A0914"/>
    <w:rsid w:val="009A4CC8"/>
    <w:rsid w:val="00A11438"/>
    <w:rsid w:val="00A3544B"/>
    <w:rsid w:val="00A56D26"/>
    <w:rsid w:val="00A75318"/>
    <w:rsid w:val="00B111FB"/>
    <w:rsid w:val="00B63D68"/>
    <w:rsid w:val="00BB2850"/>
    <w:rsid w:val="00BB5635"/>
    <w:rsid w:val="00BD52A1"/>
    <w:rsid w:val="00BE04F0"/>
    <w:rsid w:val="00CF0133"/>
    <w:rsid w:val="00CF21D1"/>
    <w:rsid w:val="00D05D55"/>
    <w:rsid w:val="00D403BB"/>
    <w:rsid w:val="00D45AAF"/>
    <w:rsid w:val="00D64093"/>
    <w:rsid w:val="00D7245C"/>
    <w:rsid w:val="00DF3C82"/>
    <w:rsid w:val="00E172B2"/>
    <w:rsid w:val="00E247F0"/>
    <w:rsid w:val="00E43E7B"/>
    <w:rsid w:val="00E727D7"/>
    <w:rsid w:val="00E91113"/>
    <w:rsid w:val="00EA3F81"/>
    <w:rsid w:val="00ED53F8"/>
    <w:rsid w:val="00EF4D69"/>
    <w:rsid w:val="00F00700"/>
    <w:rsid w:val="00FC66D7"/>
    <w:rsid w:val="00FC6766"/>
    <w:rsid w:val="00F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E6C6-4715-4B54-83F4-93162ECB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8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4D69"/>
    <w:pPr>
      <w:keepNext/>
      <w:keepLines/>
      <w:numPr>
        <w:ilvl w:val="1"/>
        <w:numId w:val="1"/>
      </w:numPr>
      <w:pBdr>
        <w:top w:val="single" w:sz="18" w:space="1" w:color="365F91"/>
      </w:pBdr>
      <w:ind w:left="578" w:hanging="578"/>
      <w:outlineLvl w:val="1"/>
    </w:pPr>
    <w:rPr>
      <w:rFonts w:asciiTheme="minorHAnsi" w:eastAsia="Times New Roman" w:hAnsiTheme="minorHAnsi" w:cstheme="minorBidi"/>
      <w:b/>
      <w:bCs/>
      <w:smallCaps/>
      <w:color w:val="4F81BD"/>
      <w:sz w:val="3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EF4D69"/>
    <w:rPr>
      <w:rFonts w:eastAsia="Times New Roman"/>
      <w:b/>
      <w:bCs/>
      <w:smallCaps/>
      <w:color w:val="4F81BD"/>
      <w:sz w:val="36"/>
      <w:szCs w:val="26"/>
    </w:rPr>
  </w:style>
  <w:style w:type="table" w:styleId="Tablaconcuadrcula">
    <w:name w:val="Table Grid"/>
    <w:basedOn w:val="Tablanormal"/>
    <w:uiPriority w:val="39"/>
    <w:rsid w:val="00A753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531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31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Piedepgina">
    <w:name w:val="footer"/>
    <w:basedOn w:val="Normal"/>
    <w:link w:val="PiedepginaCar"/>
    <w:uiPriority w:val="99"/>
    <w:unhideWhenUsed/>
    <w:rsid w:val="00A7531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31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Prrafodelista">
    <w:name w:val="List Paragraph"/>
    <w:basedOn w:val="Normal"/>
    <w:uiPriority w:val="34"/>
    <w:qFormat/>
    <w:rsid w:val="002901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27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279"/>
    <w:rPr>
      <w:rFonts w:ascii="Segoe UI" w:eastAsia="MS Mincho" w:hAnsi="Segoe UI" w:cs="Segoe UI"/>
      <w:sz w:val="18"/>
      <w:szCs w:val="18"/>
      <w:lang w:val="es-ES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972A-1130-481B-838E-C623CF6E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pcsijomo (Moreno Molina, Joel)</dc:creator>
  <cp:keywords/>
  <dc:description/>
  <cp:lastModifiedBy>claudio Alvarez A.</cp:lastModifiedBy>
  <cp:revision>17</cp:revision>
  <dcterms:created xsi:type="dcterms:W3CDTF">2018-10-04T18:15:00Z</dcterms:created>
  <dcterms:modified xsi:type="dcterms:W3CDTF">2018-10-12T23:05:00Z</dcterms:modified>
</cp:coreProperties>
</file>