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1.png" ContentType="image/png"/>
  <Override PartName="/word/media/rId25.png" ContentType="image/png"/>
  <Override PartName="/word/media/rId23.png" ContentType="image/png"/>
  <Override PartName="/word/media/rId22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easyCyte</w:t>
      </w:r>
      <w:r>
        <w:t xml:space="preserve"> </w:t>
      </w:r>
      <w:r>
        <w:t xml:space="preserve">Flow</w:t>
      </w:r>
      <w:r>
        <w:t xml:space="preserve"> </w:t>
      </w:r>
      <w:r>
        <w:t xml:space="preserve">Cytometer</w:t>
      </w:r>
    </w:p>
    <w:bookmarkStart w:id="20" w:name="preparation"/>
    <w:p>
      <w:pPr>
        <w:pStyle w:val="Heading2"/>
      </w:pPr>
      <w:r>
        <w:t xml:space="preserve">Preparation</w:t>
      </w:r>
    </w:p>
    <w:p>
      <w:pPr>
        <w:numPr>
          <w:ilvl w:val="0"/>
          <w:numId w:val="1001"/>
        </w:numPr>
        <w:pStyle w:val="Compact"/>
      </w:pPr>
      <w:r>
        <w:t xml:space="preserve">Pipette your samples in an appropriate scheme on a well plate</w:t>
      </w:r>
    </w:p>
    <w:bookmarkEnd w:id="20"/>
    <w:bookmarkStart w:id="24" w:name="acquisition"/>
    <w:p>
      <w:pPr>
        <w:pStyle w:val="Heading2"/>
      </w:pPr>
      <w:r>
        <w:t xml:space="preserve">Acquisition</w:t>
      </w:r>
    </w:p>
    <w:p>
      <w:pPr>
        <w:numPr>
          <w:ilvl w:val="0"/>
          <w:numId w:val="1002"/>
        </w:numPr>
      </w:pPr>
      <w:r>
        <w:t xml:space="preserve">Start the</w:t>
      </w:r>
      <w:r>
        <w:t xml:space="preserve"> </w:t>
      </w:r>
      <w:r>
        <w:rPr>
          <w:rStyle w:val="VerbatimChar"/>
        </w:rPr>
        <w:t xml:space="preserve">guavaSoft</w:t>
      </w:r>
      <w:r>
        <w:t xml:space="preserve"> </w:t>
      </w:r>
      <w:r>
        <w:t xml:space="preserve">software on the attached PC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InCyte</w:t>
      </w:r>
    </w:p>
    <w:p>
      <w:pPr>
        <w:numPr>
          <w:ilvl w:val="0"/>
          <w:numId w:val="1002"/>
        </w:numPr>
      </w:pPr>
      <w:r>
        <w:t xml:space="preserve">In the top left, under the</w:t>
      </w:r>
      <w:r>
        <w:t xml:space="preserve"> </w:t>
      </w:r>
      <w:r>
        <w:rPr>
          <w:rStyle w:val="VerbatimChar"/>
        </w:rPr>
        <w:t xml:space="preserve">Acquire</w:t>
      </w:r>
      <w:r>
        <w:t xml:space="preserve"> </w:t>
      </w:r>
      <w:r>
        <w:t xml:space="preserve">menu, click</w:t>
      </w:r>
      <w:r>
        <w:t xml:space="preserve"> </w:t>
      </w:r>
      <w:r>
        <w:rPr>
          <w:rStyle w:val="VerbatimChar"/>
        </w:rPr>
        <w:t xml:space="preserve">Edit    Worklist</w:t>
      </w:r>
      <w:r>
        <w:t xml:space="preserve"> </w:t>
      </w:r>
      <w:r>
        <w:drawing>
          <wp:inline>
            <wp:extent cx="212271" cy="228600"/>
            <wp:effectExtent b="0" l="0" r="0" t="0"/>
            <wp:docPr descr="edit_worklist" title="" id="1" name="Picture"/>
            <a:graphic>
              <a:graphicData uri="http://schemas.openxmlformats.org/drawingml/2006/picture">
                <pic:pic>
                  <pic:nvPicPr>
                    <pic:cNvPr descr="images/edit_work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71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2"/>
        </w:numPr>
      </w:pPr>
      <w:r>
        <w:t xml:space="preserve">Populate the plate map with your sample information by clicking one or</w:t>
      </w:r>
      <w:r>
        <w:t xml:space="preserve"> </w:t>
      </w:r>
      <w:r>
        <w:t xml:space="preserve">more wells and checking off</w:t>
      </w:r>
      <w:r>
        <w:t xml:space="preserve"> </w:t>
      </w:r>
      <w:r>
        <w:rPr>
          <w:rStyle w:val="VerbatimChar"/>
        </w:rPr>
        <w:t xml:space="preserve">Acquire this sample</w:t>
      </w:r>
      <w:r>
        <w:t xml:space="preserve"> </w:t>
      </w:r>
      <w:r>
        <w:t xml:space="preserve">and entering the</w:t>
      </w:r>
      <w:r>
        <w:t xml:space="preserve"> </w:t>
      </w:r>
      <w:r>
        <w:rPr>
          <w:rStyle w:val="VerbatimChar"/>
        </w:rPr>
        <w:t xml:space="preserve">Sample    ID</w:t>
      </w:r>
      <w:r>
        <w:t xml:space="preserve">. Enter the number of</w:t>
      </w:r>
      <w:r>
        <w:t xml:space="preserve"> </w:t>
      </w:r>
      <w:r>
        <w:rPr>
          <w:rStyle w:val="VerbatimChar"/>
        </w:rPr>
        <w:t xml:space="preserve">Events to Acquire</w:t>
      </w:r>
    </w:p>
    <w:p>
      <w:pPr>
        <w:numPr>
          <w:ilvl w:val="0"/>
          <w:numId w:val="1002"/>
        </w:numPr>
      </w:pPr>
      <w:r>
        <w:t xml:space="preserve">On the right, click</w:t>
      </w:r>
      <w:r>
        <w:t xml:space="preserve"> </w:t>
      </w:r>
      <w:r>
        <w:rPr>
          <w:rStyle w:val="VerbatimChar"/>
        </w:rPr>
        <w:t xml:space="preserve">Run Worklist</w:t>
      </w:r>
    </w:p>
    <w:p>
      <w:pPr>
        <w:numPr>
          <w:ilvl w:val="0"/>
          <w:numId w:val="1002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Adjust Settings</w:t>
      </w:r>
    </w:p>
    <w:p>
      <w:pPr>
        <w:numPr>
          <w:ilvl w:val="0"/>
          <w:numId w:val="1002"/>
        </w:numPr>
      </w:pPr>
      <w:r>
        <w:t xml:space="preserve">Place your plate in the ejected tray</w:t>
      </w:r>
    </w:p>
    <w:p>
      <w:pPr>
        <w:numPr>
          <w:ilvl w:val="0"/>
          <w:numId w:val="1002"/>
        </w:numPr>
      </w:pPr>
      <w:r>
        <w:t xml:space="preserve">Follow the on-screen instructions for the eppendorf tube contents</w:t>
      </w:r>
    </w:p>
    <w:p>
      <w:pPr>
        <w:numPr>
          <w:ilvl w:val="0"/>
          <w:numId w:val="1000"/>
        </w:numPr>
      </w:pPr>
      <w:r>
        <w:drawing>
          <wp:inline>
            <wp:extent cx="1866207" cy="1143000"/>
            <wp:effectExtent b="0" l="0" r="0" t="0"/>
            <wp:docPr descr="vial_instr" title="" id="1" name="Picture"/>
            <a:graphic>
              <a:graphicData uri="http://schemas.openxmlformats.org/drawingml/2006/picture">
                <pic:pic>
                  <pic:nvPicPr>
                    <pic:cNvPr descr="images/vial_inst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07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0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OK</w:t>
      </w:r>
    </w:p>
    <w:p>
      <w:pPr>
        <w:numPr>
          <w:ilvl w:val="0"/>
          <w:numId w:val="1002"/>
        </w:numPr>
      </w:pPr>
      <w:r>
        <w:t xml:space="preserve">Another</w:t>
      </w:r>
      <w:r>
        <w:t xml:space="preserve"> </w:t>
      </w:r>
      <w:r>
        <w:rPr>
          <w:rStyle w:val="VerbatimChar"/>
        </w:rPr>
        <w:t xml:space="preserve">Adjust Settings</w:t>
      </w:r>
      <w:r>
        <w:t xml:space="preserve"> </w:t>
      </w:r>
      <w:r>
        <w:t xml:space="preserve">panel will appear. Click a well to acquire and</w:t>
      </w:r>
      <w:r>
        <w:t xml:space="preserve"> </w:t>
      </w:r>
      <w:r>
        <w:t xml:space="preserve">click</w:t>
      </w:r>
      <w:r>
        <w:t xml:space="preserve"> </w:t>
      </w:r>
      <w:r>
        <w:rPr>
          <w:rStyle w:val="VerbatimChar"/>
        </w:rPr>
        <w:t xml:space="preserve">OK</w:t>
      </w:r>
      <w:r>
        <w:t xml:space="preserve">. Adjust settings as necessary</w:t>
      </w:r>
    </w:p>
    <w:p>
      <w:pPr>
        <w:numPr>
          <w:ilvl w:val="0"/>
          <w:numId w:val="1002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Next Step</w:t>
      </w:r>
      <w:r>
        <w:t xml:space="preserve"> </w:t>
      </w:r>
      <w:r>
        <w:t xml:space="preserve">to proceed to the next well</w:t>
      </w:r>
      <w:r>
        <w:t xml:space="preserve"> </w:t>
      </w:r>
      <w:r>
        <w:drawing>
          <wp:inline>
            <wp:extent cx="228600" cy="228600"/>
            <wp:effectExtent b="0" l="0" r="0" t="0"/>
            <wp:docPr descr="next_sample" title="" id="1" name="Picture"/>
            <a:graphic>
              <a:graphicData uri="http://schemas.openxmlformats.org/drawingml/2006/picture">
                <pic:pic>
                  <pic:nvPicPr>
                    <pic:cNvPr descr="images/next_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and</w:t>
      </w:r>
      <w:r>
        <w:t xml:space="preserve"> </w:t>
      </w:r>
      <w:r>
        <w:rPr>
          <w:rStyle w:val="VerbatimChar"/>
        </w:rPr>
        <w:t xml:space="preserve">Resume Worklist</w:t>
      </w:r>
    </w:p>
    <w:bookmarkEnd w:id="24"/>
    <w:bookmarkStart w:id="29" w:name="analysis"/>
    <w:p>
      <w:pPr>
        <w:pStyle w:val="Heading2"/>
      </w:pPr>
      <w:r>
        <w:t xml:space="preserve">Analysis</w:t>
      </w:r>
    </w:p>
    <w:p>
      <w:pPr>
        <w:numPr>
          <w:ilvl w:val="0"/>
          <w:numId w:val="1003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Analyse</w:t>
      </w:r>
    </w:p>
    <w:p>
      <w:pPr>
        <w:numPr>
          <w:ilvl w:val="0"/>
          <w:numId w:val="1003"/>
        </w:numPr>
      </w:pPr>
      <w:r>
        <w:t xml:space="preserve">Select one of the samples</w:t>
      </w:r>
    </w:p>
    <w:p>
      <w:pPr>
        <w:numPr>
          <w:ilvl w:val="0"/>
          <w:numId w:val="1003"/>
        </w:numPr>
      </w:pPr>
      <w:r>
        <w:t xml:space="preserve">Set the event gate by clicking on the</w:t>
      </w:r>
      <w:r>
        <w:t xml:space="preserve"> </w:t>
      </w:r>
      <w:r>
        <w:rPr>
          <w:rStyle w:val="VerbatimChar"/>
        </w:rPr>
        <w:t xml:space="preserve">New Region</w:t>
      </w:r>
      <w:r>
        <w:t xml:space="preserve"> </w:t>
      </w:r>
      <w:r>
        <w:t xml:space="preserve">button on the plot and</w:t>
      </w:r>
      <w:r>
        <w:t xml:space="preserve"> </w:t>
      </w:r>
      <w:r>
        <w:t xml:space="preserve">selecting the gate shape</w:t>
      </w:r>
    </w:p>
    <w:p>
      <w:pPr>
        <w:numPr>
          <w:ilvl w:val="0"/>
          <w:numId w:val="1000"/>
        </w:numPr>
      </w:pPr>
      <w:r>
        <w:drawing>
          <wp:inline>
            <wp:extent cx="3160346" cy="2286000"/>
            <wp:effectExtent b="0" l="0" r="0" t="0"/>
            <wp:docPr descr="gate" title="" id="1" name="Picture"/>
            <a:graphic>
              <a:graphicData uri="http://schemas.openxmlformats.org/drawingml/2006/picture">
                <pic:pic>
                  <pic:nvPicPr>
                    <pic:cNvPr descr="images/gat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46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3"/>
        </w:numPr>
      </w:pPr>
      <w:r>
        <w:t xml:space="preserve">Apply the gate to plot 2 by clicking this button over there</w:t>
      </w:r>
      <w:r>
        <w:t xml:space="preserve"> </w:t>
      </w:r>
      <w:r>
        <w:drawing>
          <wp:inline>
            <wp:extent cx="228600" cy="228600"/>
            <wp:effectExtent b="0" l="0" r="0" t="0"/>
            <wp:docPr descr="button" title="" id="1" name="Picture"/>
            <a:graphic>
              <a:graphicData uri="http://schemas.openxmlformats.org/drawingml/2006/picture">
                <pic:pic>
                  <pic:nvPicPr>
                    <pic:cNvPr descr="images/butt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and select either dimension</w:t>
      </w:r>
    </w:p>
    <w:p>
      <w:pPr>
        <w:numPr>
          <w:ilvl w:val="0"/>
          <w:numId w:val="1003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New Region</w:t>
      </w:r>
      <w:r>
        <w:t xml:space="preserve"> </w:t>
      </w:r>
      <w:r>
        <w:t xml:space="preserve">on plot 2 and draw a gate around the group of interest</w:t>
      </w:r>
    </w:p>
    <w:p>
      <w:pPr>
        <w:numPr>
          <w:ilvl w:val="0"/>
          <w:numId w:val="1003"/>
        </w:numPr>
      </w:pPr>
      <w:r>
        <w:t xml:space="preserve">Apply the gate to plot 3 to gate the histogram</w:t>
      </w:r>
    </w:p>
    <w:p>
      <w:pPr>
        <w:pStyle w:val="FirstParagraph"/>
      </w:pPr>
      <w:r>
        <w:t xml:space="preserve">For more information see the full instruction manuals at</w:t>
      </w:r>
    </w:p>
    <w:p>
      <w:pPr>
        <w:pStyle w:val="BodyText"/>
      </w:pPr>
      <w:hyperlink r:id="rId27">
        <w:r>
          <w:rPr>
            <w:rStyle w:val="Hyperlink"/>
          </w:rPr>
          <w:t xml:space="preserve">https://www.luminexcorp.com/?wpdmdl=41831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8">
        <w:r>
          <w:rPr>
            <w:rStyle w:val="Hyperlink"/>
          </w:rPr>
          <w:t xml:space="preserve">https://www.luminexcorp.com/?wpdmdl=41833</w:t>
        </w:r>
      </w:hyperlink>
    </w:p>
    <w:bookmarkEnd w:id="29"/>
    <w:sectPr w:rsidR="0029245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CA3BD" w14:textId="780F24A6" w:rsidR="0034002D" w:rsidRDefault="0034002D">
    <w:pPr>
      <w:pStyle w:val="Footer"/>
    </w:pPr>
    <w:r>
      <w:t>Revised December 18, 2020</w:t>
    </w:r>
    <w:r>
      <w:ptab w:relativeTo="margin" w:alignment="center" w:leader="none"/>
    </w:r>
    <w:r w:rsidR="00B60E28" w:rsidRPr="00B60E28">
      <w:fldChar w:fldCharType="begin"/>
    </w:r>
    <w:r w:rsidR="00B60E28" w:rsidRPr="00B60E28">
      <w:instrText xml:space="preserve"> PAGE  \* Arabic  \* MERGEFORMAT </w:instrText>
    </w:r>
    <w:r w:rsidR="00B60E28" w:rsidRPr="00B60E28">
      <w:fldChar w:fldCharType="separate"/>
    </w:r>
    <w:r w:rsidR="00B60E28" w:rsidRPr="00B60E28">
      <w:rPr>
        <w:noProof/>
      </w:rPr>
      <w:t>1</w:t>
    </w:r>
    <w:r w:rsidR="00B60E28" w:rsidRPr="00B60E28">
      <w:fldChar w:fldCharType="end"/>
    </w:r>
    <w:r w:rsidR="00B60E28">
      <w:t>/</w:t>
    </w:r>
    <w:r w:rsidR="00B60E28" w:rsidRPr="00B60E28">
      <w:fldChar w:fldCharType="begin"/>
    </w:r>
    <w:r w:rsidR="00B60E28" w:rsidRPr="00B60E28">
      <w:instrText xml:space="preserve"> NUMPAGES  \* Arabic  \* MERGEFORMAT </w:instrText>
    </w:r>
    <w:r w:rsidR="00B60E28" w:rsidRPr="00B60E28">
      <w:fldChar w:fldCharType="separate"/>
    </w:r>
    <w:r w:rsidR="00B60E28" w:rsidRPr="00B60E28">
      <w:rPr>
        <w:noProof/>
      </w:rPr>
      <w:t>2</w:t>
    </w:r>
    <w:r w:rsidR="00B60E28" w:rsidRPr="00B60E28">
      <w:fldChar w:fldCharType="end"/>
    </w:r>
    <w:r>
      <w:ptab w:relativeTo="margin" w:alignment="right" w:leader="none"/>
    </w:r>
    <w:r>
      <w:t>Morimoto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ABFD4" w14:textId="330CB4C5" w:rsidR="0034002D" w:rsidRDefault="0034002D">
    <w:pPr>
      <w:pStyle w:val="Header"/>
    </w:pPr>
    <w:r>
      <w:t>Department of Chemistry, Tufts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C36D7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66422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47261bad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3400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4002D"/>
  </w:style>
  <w:style w:type="paragraph" w:styleId="Footer">
    <w:name w:val="footer"/>
    <w:basedOn w:val="Normal"/>
    <w:link w:val="FooterChar"/>
    <w:uiPriority w:val="99"/>
    <w:unhideWhenUsed/>
    <w:rsid w:val="003400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hyperlink" Id="rId27" Target="https://www.luminexcorp.com/?wpdmdl=41831" TargetMode="External" /><Relationship Type="http://schemas.openxmlformats.org/officeDocument/2006/relationships/hyperlink" Id="rId28" Target="https://www.luminexcorp.com/?wpdmdl=4183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luminexcorp.com/?wpdmdl=41831" TargetMode="External" /><Relationship Type="http://schemas.openxmlformats.org/officeDocument/2006/relationships/hyperlink" Id="rId28" Target="https://www.luminexcorp.com/?wpdmdl=4183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easyCyte Flow Cytometer</dc:title>
  <dc:creator/>
  <cp:keywords/>
  <dcterms:created xsi:type="dcterms:W3CDTF">2020-12-19T03:32:32Z</dcterms:created>
  <dcterms:modified xsi:type="dcterms:W3CDTF">2020-12-19T03:32:32Z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