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2.png" ContentType="image/png"/>
  <Override PartName="/word/media/rId21.png" ContentType="image/png"/>
  <Override PartName="/word/media/rId23.png" ContentType="image/png"/>
  <Override PartName="/word/media/image1.png" ContentType="image/png"/>
  <Override PartName="/word/media/image2.png" ContentType="image/png"/>
  <Override PartName="/word/media/image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FortèBio</w:t>
      </w:r>
      <w:r>
        <w:t xml:space="preserve"> </w:t>
      </w:r>
      <w:r>
        <w:t xml:space="preserve">Octet</w:t>
      </w:r>
      <w:r>
        <w:t xml:space="preserve"> </w:t>
      </w:r>
      <w:r>
        <w:t xml:space="preserve">K2</w:t>
      </w:r>
    </w:p>
    <w:bookmarkStart w:id="26" w:name="basic-kinetics-experiment"/>
    <w:p>
      <w:pPr>
        <w:pStyle w:val="Heading1"/>
      </w:pPr>
      <w:r>
        <w:t xml:space="preserve">Basic Kinetics Experiment</w:t>
      </w:r>
    </w:p>
    <w:bookmarkStart w:id="20" w:name="preparation"/>
    <w:p>
      <w:pPr>
        <w:pStyle w:val="Heading2"/>
      </w:pPr>
      <w:r>
        <w:t xml:space="preserve">Preparation</w:t>
      </w:r>
    </w:p>
    <w:p>
      <w:pPr>
        <w:numPr>
          <w:ilvl w:val="0"/>
          <w:numId w:val="1001"/>
        </w:numPr>
        <w:pStyle w:val="Compact"/>
      </w:pPr>
      <w:r>
        <w:t xml:space="preserve">Pipette phosphate-buffered saline — or whichever buffer system in which</w:t>
      </w:r>
      <w:r>
        <w:t xml:space="preserve"> </w:t>
      </w:r>
      <w:r>
        <w:t xml:space="preserve">your proteins are well-behaved — into a 96-well plate and place a sensor</w:t>
      </w:r>
      <w:r>
        <w:t xml:space="preserve"> </w:t>
      </w:r>
      <w:r>
        <w:t xml:space="preserve">array on top of it to prehydrate the sensors</w:t>
      </w:r>
    </w:p>
    <w:p>
      <w:pPr>
        <w:numPr>
          <w:ilvl w:val="0"/>
          <w:numId w:val="1001"/>
        </w:numPr>
        <w:pStyle w:val="Compact"/>
      </w:pPr>
      <w:r>
        <w:t xml:space="preserve">Pipette your samples in an appropriate scheme on another 96-well plate,</w:t>
      </w:r>
      <w:r>
        <w:t xml:space="preserve"> </w:t>
      </w:r>
      <w:r>
        <w:t xml:space="preserve">including blank wells for baseline acquisition and dissociation measurements</w:t>
      </w:r>
    </w:p>
    <w:p>
      <w:pPr>
        <w:numPr>
          <w:ilvl w:val="0"/>
          <w:numId w:val="1001"/>
        </w:numPr>
        <w:pStyle w:val="Compact"/>
      </w:pPr>
      <w:r>
        <w:t xml:space="preserve">Open the Octet cabinet and place the sensor array on the tray on the left and</w:t>
      </w:r>
      <w:r>
        <w:t xml:space="preserve"> </w:t>
      </w:r>
      <w:r>
        <w:t xml:space="preserve">the well plate on the tray on the right, aligning the A1 well to the top</w:t>
      </w:r>
      <w:r>
        <w:t xml:space="preserve"> </w:t>
      </w:r>
      <w:r>
        <w:t xml:space="preserve">right corner</w:t>
      </w:r>
    </w:p>
    <w:p>
      <w:pPr>
        <w:numPr>
          <w:ilvl w:val="0"/>
          <w:numId w:val="1001"/>
        </w:numPr>
        <w:pStyle w:val="Compact"/>
      </w:pPr>
      <w:r>
        <w:t xml:space="preserve">Close the cabinet</w:t>
      </w:r>
    </w:p>
    <w:bookmarkEnd w:id="20"/>
    <w:bookmarkStart w:id="25" w:name="acquisition"/>
    <w:p>
      <w:pPr>
        <w:pStyle w:val="Heading2"/>
      </w:pPr>
      <w:r>
        <w:t xml:space="preserve">Acquisition</w:t>
      </w:r>
    </w:p>
    <w:p>
      <w:pPr>
        <w:numPr>
          <w:ilvl w:val="0"/>
          <w:numId w:val="1002"/>
        </w:numPr>
      </w:pPr>
      <w:r>
        <w:t xml:space="preserve">On the attached PC, start the Octet Data Acquisition Software</w:t>
      </w:r>
    </w:p>
    <w:p>
      <w:pPr>
        <w:numPr>
          <w:ilvl w:val="0"/>
          <w:numId w:val="1002"/>
        </w:numPr>
      </w:pPr>
      <w:r>
        <w:t xml:space="preserve">Define buffers and samples in the</w:t>
      </w:r>
      <w:r>
        <w:t xml:space="preserve"> </w:t>
      </w:r>
      <w:r>
        <w:rPr>
          <w:rStyle w:val="VerbatimChar"/>
        </w:rPr>
        <w:t xml:space="preserve">Plate Definition</w:t>
      </w:r>
      <w:r>
        <w:t xml:space="preserve"> </w:t>
      </w:r>
      <w:r>
        <w:t xml:space="preserve">window in the</w:t>
      </w:r>
      <w:r>
        <w:t xml:space="preserve"> </w:t>
      </w:r>
      <w:r>
        <w:t xml:space="preserve">acquisition software by dragging the mouse to highlight the desired wells.</w:t>
      </w:r>
      <w:r>
        <w:t xml:space="preserve"> </w:t>
      </w:r>
      <w:r>
        <w:t xml:space="preserve">Right click to specify wells as sample, reference, control, buffer,</w:t>
      </w:r>
      <w:r>
        <w:t xml:space="preserve"> </w:t>
      </w:r>
      <w:r>
        <w:t xml:space="preserve">activation, etc.</w:t>
      </w:r>
    </w:p>
    <w:p>
      <w:pPr>
        <w:numPr>
          <w:ilvl w:val="0"/>
          <w:numId w:val="1000"/>
        </w:numPr>
      </w:pPr>
      <w:r>
        <w:drawing>
          <wp:inline>
            <wp:extent cx="2988194" cy="2286000"/>
            <wp:effectExtent b="0" l="0" r="0" t="0"/>
            <wp:docPr descr="sample_def" title="" id="1" name="Picture"/>
            <a:graphic>
              <a:graphicData uri="http://schemas.openxmlformats.org/drawingml/2006/picture">
                <pic:pic>
                  <pic:nvPicPr>
                    <pic:cNvPr descr="images/plate_tab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94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</w:pPr>
      <w:r>
        <w:t xml:space="preserve">Enter your Sample IDs, the concentrations, and molecular weights for your</w:t>
      </w:r>
      <w:r>
        <w:t xml:space="preserve"> </w:t>
      </w:r>
      <w:r>
        <w:t xml:space="preserve">samples in the plate table</w:t>
      </w:r>
    </w:p>
    <w:p>
      <w:pPr>
        <w:numPr>
          <w:ilvl w:val="0"/>
          <w:numId w:val="1002"/>
        </w:numPr>
      </w:pPr>
      <w:r>
        <w:t xml:space="preserve">In the</w:t>
      </w:r>
      <w:r>
        <w:t xml:space="preserve"> </w:t>
      </w:r>
      <w:r>
        <w:rPr>
          <w:rStyle w:val="VerbatimChar"/>
        </w:rPr>
        <w:t xml:space="preserve">Assay Definition</w:t>
      </w:r>
      <w:r>
        <w:t xml:space="preserve"> </w:t>
      </w:r>
      <w:r>
        <w:t xml:space="preserve">tab, select your buffer wells and specify the assay</w:t>
      </w:r>
      <w:r>
        <w:t xml:space="preserve"> </w:t>
      </w:r>
      <w:r>
        <w:t xml:space="preserve">type as</w:t>
      </w:r>
      <w:r>
        <w:t xml:space="preserve"> </w:t>
      </w:r>
      <w:r>
        <w:rPr>
          <w:rStyle w:val="VerbatimChar"/>
        </w:rPr>
        <w:t xml:space="preserve">Baseline</w:t>
      </w:r>
      <w:r>
        <w:t xml:space="preserve">, and specify the time (in seconds) and shake speed (in</w:t>
      </w:r>
      <w:r>
        <w:t xml:space="preserve"> </w:t>
      </w:r>
      <w:r>
        <w:t xml:space="preserve">rpm). Assay steps are run in pairs so you will be defining two steps at</w:t>
      </w:r>
      <w:r>
        <w:t xml:space="preserve"> </w:t>
      </w:r>
      <w:r>
        <w:t xml:space="preserve">a time</w:t>
      </w:r>
    </w:p>
    <w:p>
      <w:pPr>
        <w:numPr>
          <w:ilvl w:val="0"/>
          <w:numId w:val="1002"/>
        </w:numPr>
      </w:pPr>
      <w:r>
        <w:t xml:space="preserve">Double click an item in the</w:t>
      </w:r>
      <w:r>
        <w:t xml:space="preserve"> </w:t>
      </w:r>
      <w:r>
        <w:rPr>
          <w:rStyle w:val="VerbatimChar"/>
        </w:rPr>
        <w:t xml:space="preserve">Step Data List</w:t>
      </w:r>
      <w:r>
        <w:t xml:space="preserve"> </w:t>
      </w:r>
      <w:r>
        <w:t xml:space="preserve">to add it to the</w:t>
      </w:r>
      <w:r>
        <w:t xml:space="preserve"> </w:t>
      </w:r>
      <w:r>
        <w:rPr>
          <w:rStyle w:val="VerbatimChar"/>
        </w:rPr>
        <w:t xml:space="preserve">Assay Steps    List</w:t>
      </w:r>
    </w:p>
    <w:p>
      <w:pPr>
        <w:numPr>
          <w:ilvl w:val="0"/>
          <w:numId w:val="1002"/>
        </w:numPr>
      </w:pPr>
      <w:r>
        <w:t xml:space="preserve">Select your protein wells, click</w:t>
      </w:r>
      <w:r>
        <w:t xml:space="preserve"> </w:t>
      </w:r>
      <w:r>
        <w:rPr>
          <w:rStyle w:val="VerbatimChar"/>
        </w:rPr>
        <w:t xml:space="preserve">Add</w:t>
      </w:r>
      <w:r>
        <w:t xml:space="preserve">, and specify them as</w:t>
      </w:r>
      <w:r>
        <w:t xml:space="preserve"> </w:t>
      </w:r>
      <w:r>
        <w:rPr>
          <w:rStyle w:val="VerbatimChar"/>
        </w:rPr>
        <w:t xml:space="preserve">Association</w:t>
      </w:r>
      <w:r>
        <w:t xml:space="preserve"> </w:t>
      </w:r>
      <w:r>
        <w:t xml:space="preserve">assays</w:t>
      </w:r>
    </w:p>
    <w:p>
      <w:pPr>
        <w:numPr>
          <w:ilvl w:val="0"/>
          <w:numId w:val="1002"/>
        </w:numPr>
      </w:pPr>
      <w:r>
        <w:t xml:space="preserve">Select the next buffer wells, click</w:t>
      </w:r>
      <w:r>
        <w:t xml:space="preserve"> </w:t>
      </w:r>
      <w:r>
        <w:rPr>
          <w:rStyle w:val="VerbatimChar"/>
        </w:rPr>
        <w:t xml:space="preserve">Add</w:t>
      </w:r>
      <w:r>
        <w:t xml:space="preserve">, and specify them as</w:t>
      </w:r>
      <w:r>
        <w:t xml:space="preserve"> </w:t>
      </w:r>
      <w:r>
        <w:rPr>
          <w:rStyle w:val="VerbatimChar"/>
        </w:rPr>
        <w:t xml:space="preserve">Dissociation</w:t>
      </w:r>
      <w:r>
        <w:t xml:space="preserve"> </w:t>
      </w:r>
      <w:r>
        <w:t xml:space="preserve">assays</w:t>
      </w:r>
    </w:p>
    <w:p>
      <w:pPr>
        <w:numPr>
          <w:ilvl w:val="0"/>
          <w:numId w:val="1002"/>
        </w:numPr>
      </w:pPr>
      <w:r>
        <w:t xml:space="preserve">Select the assay steps under</w:t>
      </w:r>
      <w:r>
        <w:t xml:space="preserve"> </w:t>
      </w:r>
      <w:r>
        <w:rPr>
          <w:rStyle w:val="VerbatimChar"/>
        </w:rPr>
        <w:t xml:space="preserve">Assay Steps List</w:t>
      </w:r>
      <w:r>
        <w:t xml:space="preserve"> </w:t>
      </w:r>
      <w:r>
        <w:t xml:space="preserve">and use the</w:t>
      </w:r>
      <w:r>
        <w:t xml:space="preserve"> </w:t>
      </w:r>
      <w:r>
        <w:rPr>
          <w:rStyle w:val="VerbatimChar"/>
        </w:rPr>
        <w:t xml:space="preserve">Replicate</w:t>
      </w:r>
      <w:r>
        <w:t xml:space="preserve"> </w:t>
      </w:r>
      <w:r>
        <w:t xml:space="preserve">button to repeat experiments with different wells. Note that the total</w:t>
      </w:r>
      <w:r>
        <w:t xml:space="preserve"> </w:t>
      </w:r>
      <w:r>
        <w:t xml:space="preserve">experiment time will update in the bottom right of the panel</w:t>
      </w:r>
    </w:p>
    <w:p>
      <w:pPr>
        <w:numPr>
          <w:ilvl w:val="0"/>
          <w:numId w:val="1002"/>
        </w:numPr>
      </w:pPr>
      <w:r>
        <w:t xml:space="preserve">Change the</w:t>
      </w:r>
      <w:r>
        <w:t xml:space="preserve"> </w:t>
      </w:r>
      <w:r>
        <w:rPr>
          <w:rStyle w:val="VerbatimChar"/>
        </w:rPr>
        <w:t xml:space="preserve">Sensor Type</w:t>
      </w:r>
      <w:r>
        <w:t xml:space="preserve"> </w:t>
      </w:r>
      <w:r>
        <w:t xml:space="preserve">in each assay step to the sensor being used</w:t>
      </w:r>
    </w:p>
    <w:p>
      <w:pPr>
        <w:numPr>
          <w:ilvl w:val="0"/>
          <w:numId w:val="1000"/>
        </w:numPr>
      </w:pPr>
      <w:r>
        <w:drawing>
          <wp:inline>
            <wp:extent cx="3000085" cy="2286000"/>
            <wp:effectExtent b="0" l="0" r="0" t="0"/>
            <wp:docPr descr="assay_steps" title="" id="1" name="Picture"/>
            <a:graphic>
              <a:graphicData uri="http://schemas.openxmlformats.org/drawingml/2006/picture">
                <pic:pic>
                  <pic:nvPicPr>
                    <pic:cNvPr descr="images/assay_ste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0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</w:pPr>
      <w:r>
        <w:t xml:space="preserve">Select the</w:t>
      </w:r>
      <w:r>
        <w:t xml:space="preserve"> </w:t>
      </w:r>
      <w:r>
        <w:rPr>
          <w:rStyle w:val="VerbatimChar"/>
        </w:rPr>
        <w:t xml:space="preserve">Sensor Assignment</w:t>
      </w:r>
      <w:r>
        <w:t xml:space="preserve"> </w:t>
      </w:r>
      <w:r>
        <w:t xml:space="preserve">tab. Under the</w:t>
      </w:r>
      <w:r>
        <w:t xml:space="preserve"> </w:t>
      </w:r>
      <w:r>
        <w:rPr>
          <w:rStyle w:val="VerbatimChar"/>
        </w:rPr>
        <w:t xml:space="preserve">Sensory Tray</w:t>
      </w:r>
      <w:r>
        <w:t xml:space="preserve"> </w:t>
      </w:r>
      <w:r>
        <w:t xml:space="preserve">panel, drag the</w:t>
      </w:r>
      <w:r>
        <w:t xml:space="preserve"> </w:t>
      </w:r>
      <w:r>
        <w:t xml:space="preserve">mouse to select your sensors and right click to assign them</w:t>
      </w:r>
    </w:p>
    <w:p>
      <w:pPr>
        <w:numPr>
          <w:ilvl w:val="0"/>
          <w:numId w:val="1000"/>
        </w:numPr>
      </w:pPr>
      <w:r>
        <w:drawing>
          <wp:inline>
            <wp:extent cx="3007649" cy="2286000"/>
            <wp:effectExtent b="0" l="0" r="0" t="0"/>
            <wp:docPr descr="sensors" title="" id="1" name="Picture"/>
            <a:graphic>
              <a:graphicData uri="http://schemas.openxmlformats.org/drawingml/2006/picture">
                <pic:pic>
                  <pic:nvPicPr>
                    <pic:cNvPr descr="images/senso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649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</w:pPr>
      <w:r>
        <w:t xml:space="preserve">In the</w:t>
      </w:r>
      <w:r>
        <w:t xml:space="preserve"> </w:t>
      </w:r>
      <w:r>
        <w:rPr>
          <w:rStyle w:val="VerbatimChar"/>
        </w:rPr>
        <w:t xml:space="preserve">Run Experiment</w:t>
      </w:r>
      <w:r>
        <w:t xml:space="preserve"> </w:t>
      </w:r>
      <w:r>
        <w:t xml:space="preserve">tab, specify where to save you data. You can uncheck</w:t>
      </w:r>
      <w:r>
        <w:t xml:space="preserve"> </w:t>
      </w:r>
      <w:r>
        <w:rPr>
          <w:rStyle w:val="VerbatimChar"/>
        </w:rPr>
        <w:t xml:space="preserve">Delayed Experiment Start</w:t>
      </w:r>
      <w:r>
        <w:t xml:space="preserve"> </w:t>
      </w:r>
      <w:r>
        <w:t xml:space="preserve">if your sensors are already prehydrated or adjust</w:t>
      </w:r>
      <w:r>
        <w:t xml:space="preserve"> </w:t>
      </w:r>
      <w:r>
        <w:t xml:space="preserve">the delay time</w:t>
      </w:r>
    </w:p>
    <w:p>
      <w:pPr>
        <w:numPr>
          <w:ilvl w:val="0"/>
          <w:numId w:val="1002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Go</w:t>
      </w:r>
      <w:r>
        <w:t xml:space="preserve"> </w:t>
      </w:r>
      <w:r>
        <w:t xml:space="preserve">to begin the experiment</w:t>
      </w:r>
    </w:p>
    <w:p>
      <w:pPr>
        <w:pStyle w:val="FirstParagraph"/>
      </w:pPr>
      <w:r>
        <w:t xml:space="preserve">For more information see the data analysis manual at</w:t>
      </w:r>
    </w:p>
    <w:p>
      <w:pPr>
        <w:pStyle w:val="BodyText"/>
      </w:pPr>
      <w:hyperlink r:id="rId24">
        <w:r>
          <w:rPr>
            <w:rStyle w:val="Hyperlink"/>
          </w:rPr>
          <w:t xml:space="preserve">http://www.biophysics.bioc.cam.ac.uk/wp-content/uploads/2019/10/Data-Analysis-Octet.pdf</w:t>
        </w:r>
      </w:hyperlink>
    </w:p>
    <w:bookmarkEnd w:id="25"/>
    <w:bookmarkEnd w:id="26"/>
    <w:sectPr w:rsidR="0029245B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CA3BD" w14:textId="780F24A6" w:rsidR="0034002D" w:rsidRDefault="0034002D">
    <w:pPr>
      <w:pStyle w:val="Footer"/>
    </w:pPr>
    <w:r>
      <w:t>Revised December 18, 2020</w:t>
    </w:r>
    <w:r>
      <w:ptab w:relativeTo="margin" w:alignment="center" w:leader="none"/>
    </w:r>
    <w:r w:rsidR="00B60E28" w:rsidRPr="00B60E28">
      <w:fldChar w:fldCharType="begin"/>
    </w:r>
    <w:r w:rsidR="00B60E28" w:rsidRPr="00B60E28">
      <w:instrText xml:space="preserve"> PAGE  \* Arabic  \* MERGEFORMAT </w:instrText>
    </w:r>
    <w:r w:rsidR="00B60E28" w:rsidRPr="00B60E28">
      <w:fldChar w:fldCharType="separate"/>
    </w:r>
    <w:r w:rsidR="00B60E28" w:rsidRPr="00B60E28">
      <w:rPr>
        <w:noProof/>
      </w:rPr>
      <w:t>1</w:t>
    </w:r>
    <w:r w:rsidR="00B60E28" w:rsidRPr="00B60E28">
      <w:fldChar w:fldCharType="end"/>
    </w:r>
    <w:r w:rsidR="00B60E28">
      <w:t>/</w:t>
    </w:r>
    <w:r w:rsidR="00B60E28" w:rsidRPr="00B60E28">
      <w:fldChar w:fldCharType="begin"/>
    </w:r>
    <w:r w:rsidR="00B60E28" w:rsidRPr="00B60E28">
      <w:instrText xml:space="preserve"> NUMPAGES  \* Arabic  \* MERGEFORMAT </w:instrText>
    </w:r>
    <w:r w:rsidR="00B60E28" w:rsidRPr="00B60E28">
      <w:fldChar w:fldCharType="separate"/>
    </w:r>
    <w:r w:rsidR="00B60E28" w:rsidRPr="00B60E28">
      <w:rPr>
        <w:noProof/>
      </w:rPr>
      <w:t>2</w:t>
    </w:r>
    <w:r w:rsidR="00B60E28" w:rsidRPr="00B60E28">
      <w:fldChar w:fldCharType="end"/>
    </w:r>
    <w:r>
      <w:ptab w:relativeTo="margin" w:alignment="right" w:leader="none"/>
    </w:r>
    <w:r>
      <w:t>Morimoto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ABFD4" w14:textId="330CB4C5" w:rsidR="0034002D" w:rsidRDefault="0034002D">
    <w:pPr>
      <w:pStyle w:val="Header"/>
    </w:pPr>
    <w:r>
      <w:t>Department of Chemistry, Tufts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5C36D70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66422E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71315dc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unhideWhenUsed/>
    <w:rsid w:val="0034002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4002D"/>
  </w:style>
  <w:style w:type="paragraph" w:styleId="Footer">
    <w:name w:val="footer"/>
    <w:basedOn w:val="Normal"/>
    <w:link w:val="FooterChar"/>
    <w:uiPriority w:val="99"/>
    <w:unhideWhenUsed/>
    <w:rsid w:val="0034002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0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Type="http://schemas.openxmlformats.org/officeDocument/2006/relationships/image" Id="rId22" Target="media/rId22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hyperlink" Id="rId24" Target="http://www.biophysics.bioc.cam.ac.uk/wp-content/uploads/2019/10/Data-Analysis-Octet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www.biophysics.bioc.cam.ac.uk/wp-content/uploads/2019/10/Data-Analysis-Octet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FortèBio Octet K2</dc:title>
  <dc:creator/>
  <cp:keywords/>
  <dcterms:created xsi:type="dcterms:W3CDTF">2020-12-22T22:02:38Z</dcterms:created>
  <dcterms:modified xsi:type="dcterms:W3CDTF">2020-12-22T22:02:38Z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eader-includes">
    <vt:lpwstr/>
  </property>
</Properties>
</file>