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rId22.png" ContentType="image/png"/>
  <Override PartName="/word/media/image1.png" ContentType="image/png"/>
  <Override PartName="/word/media/image2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Varioskan</w:t>
      </w:r>
      <w:r>
        <w:t xml:space="preserve"> </w:t>
      </w:r>
      <w:r>
        <w:t xml:space="preserve">LUX</w:t>
      </w:r>
      <w:r>
        <w:t xml:space="preserve"> </w:t>
      </w:r>
      <w:r>
        <w:t xml:space="preserve">Plate</w:t>
      </w:r>
      <w:r>
        <w:t xml:space="preserve"> </w:t>
      </w:r>
      <w:r>
        <w:t xml:space="preserve">Reader</w:t>
      </w:r>
    </w:p>
    <w:bookmarkStart w:id="21" w:name="preparation"/>
    <w:p>
      <w:pPr>
        <w:pStyle w:val="Heading2"/>
      </w:pPr>
      <w:r>
        <w:t xml:space="preserve">Preparation</w:t>
      </w:r>
    </w:p>
    <w:p>
      <w:pPr>
        <w:numPr>
          <w:ilvl w:val="0"/>
          <w:numId w:val="1001"/>
        </w:numPr>
      </w:pPr>
      <w:r>
        <w:t xml:space="preserve">Pipette your samples in an appropriate scheme on a well plate. An</w:t>
      </w:r>
      <w:r>
        <w:t xml:space="preserve"> </w:t>
      </w:r>
      <w:r>
        <w:t xml:space="preserve">example scheme from the undergrad labs is shown below. Include blanks,</w:t>
      </w:r>
      <w:r>
        <w:t xml:space="preserve"> </w:t>
      </w:r>
      <w:r>
        <w:t xml:space="preserve">standards, and your sample</w:t>
      </w:r>
    </w:p>
    <w:p>
      <w:pPr>
        <w:numPr>
          <w:ilvl w:val="0"/>
          <w:numId w:val="1000"/>
        </w:numPr>
      </w:pPr>
      <w:r>
        <w:drawing>
          <wp:inline>
            <wp:extent cx="4364896" cy="3429000"/>
            <wp:effectExtent b="0" l="0" r="0" t="0"/>
            <wp:docPr descr="plate" title="" id="1" name="Picture"/>
            <a:graphic>
              <a:graphicData uri="http://schemas.openxmlformats.org/drawingml/2006/picture">
                <pic:pic>
                  <pic:nvPicPr>
                    <pic:cNvPr descr="images/plat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896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bookmarkEnd w:id="21"/>
    <w:bookmarkStart w:id="23" w:name="acquisition"/>
    <w:p>
      <w:pPr>
        <w:pStyle w:val="Heading2"/>
      </w:pPr>
      <w:r>
        <w:t xml:space="preserve">Acquisition</w:t>
      </w:r>
    </w:p>
    <w:p>
      <w:pPr>
        <w:numPr>
          <w:ilvl w:val="0"/>
          <w:numId w:val="1002"/>
        </w:numPr>
      </w:pPr>
      <w:r>
        <w:t xml:space="preserve">Start the</w:t>
      </w:r>
      <w:r>
        <w:t xml:space="preserve"> </w:t>
      </w:r>
      <w:r>
        <w:rPr>
          <w:rStyle w:val="VerbatimChar"/>
        </w:rPr>
        <w:t xml:space="preserve">SkanIt</w:t>
      </w:r>
      <w:r>
        <w:t xml:space="preserve"> </w:t>
      </w:r>
      <w:r>
        <w:t xml:space="preserve">software on the attached PC</w:t>
      </w:r>
    </w:p>
    <w:p>
      <w:pPr>
        <w:numPr>
          <w:ilvl w:val="0"/>
          <w:numId w:val="1002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Other instrument types</w:t>
      </w:r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New session for Varioskan LUX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Plate Layout</w:t>
      </w:r>
      <w:r>
        <w:t xml:space="preserve"> </w:t>
      </w:r>
      <w:r>
        <w:t xml:space="preserve">from the tree on the left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rStyle w:val="VerbatimChar"/>
        </w:rPr>
        <w:t xml:space="preserve">Plate template</w:t>
      </w:r>
      <w:r>
        <w:t xml:space="preserve"> </w:t>
      </w:r>
      <w:r>
        <w:t xml:space="preserve">dropdown menu, select the appropriate plate for</w:t>
      </w:r>
      <w:r>
        <w:t xml:space="preserve"> </w:t>
      </w:r>
      <w:r>
        <w:t xml:space="preserve">analysis, most likely</w:t>
      </w:r>
      <w:r>
        <w:t xml:space="preserve"> </w:t>
      </w:r>
      <w:r>
        <w:rPr>
          <w:rStyle w:val="VerbatimChar"/>
        </w:rPr>
        <w:t xml:space="preserve">Corning, U-bottom, 96-well</w:t>
      </w:r>
    </w:p>
    <w:p>
      <w:pPr>
        <w:numPr>
          <w:ilvl w:val="0"/>
          <w:numId w:val="1002"/>
        </w:numPr>
      </w:pPr>
      <w:r>
        <w:t xml:space="preserve">Populate the wells in the software according to their sample type. You can</w:t>
      </w:r>
      <w:r>
        <w:t xml:space="preserve"> </w:t>
      </w:r>
      <w:r>
        <w:t xml:space="preserve">drag the cursor to populate multiple wells</w:t>
      </w:r>
    </w:p>
    <w:p>
      <w:pPr>
        <w:numPr>
          <w:ilvl w:val="0"/>
          <w:numId w:val="1002"/>
        </w:numPr>
      </w:pPr>
      <w:r>
        <w:t xml:space="preserve">Select</w:t>
      </w:r>
      <w:r>
        <w:t xml:space="preserve"> </w:t>
      </w:r>
      <w:r>
        <w:rPr>
          <w:rStyle w:val="VerbatimChar"/>
        </w:rPr>
        <w:t xml:space="preserve">Protocol</w:t>
      </w:r>
      <w:r>
        <w:t xml:space="preserve"> </w:t>
      </w:r>
      <w:r>
        <w:t xml:space="preserve">in the session tree and click</w:t>
      </w:r>
      <w:r>
        <w:t xml:space="preserve"> </w:t>
      </w:r>
      <w:r>
        <w:rPr>
          <w:rStyle w:val="VerbatimChar"/>
        </w:rPr>
        <w:t xml:space="preserve">Absorbance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Fluorescence</w:t>
      </w:r>
      <w:r>
        <w:t xml:space="preserve">,</w:t>
      </w:r>
      <w:r>
        <w:t xml:space="preserve"> </w:t>
      </w:r>
      <w:r>
        <w:rPr>
          <w:rStyle w:val="VerbatimChar"/>
        </w:rPr>
        <w:t xml:space="preserve">Luminescence</w:t>
      </w:r>
      <w:r>
        <w:t xml:space="preserve">, or</w:t>
      </w:r>
      <w:r>
        <w:t xml:space="preserve"> </w:t>
      </w:r>
      <w:r>
        <w:rPr>
          <w:rStyle w:val="VerbatimChar"/>
        </w:rPr>
        <w:t xml:space="preserve">TRF</w:t>
      </w:r>
      <w:r>
        <w:t xml:space="preserve"> </w:t>
      </w:r>
      <w:r>
        <w:t xml:space="preserve">depending on your assay. Input the appropriate</w:t>
      </w:r>
      <w:r>
        <w:t xml:space="preserve"> </w:t>
      </w:r>
      <w:r>
        <w:t xml:space="preserve">parameters, e.g. measurement wavelength for</w:t>
      </w:r>
      <w:r>
        <w:t xml:space="preserve"> </w:t>
      </w:r>
      <w:r>
        <w:rPr>
          <w:rStyle w:val="VerbatimChar"/>
        </w:rPr>
        <w:t xml:space="preserve">Absorbance</w:t>
      </w:r>
    </w:p>
    <w:p>
      <w:pPr>
        <w:numPr>
          <w:ilvl w:val="0"/>
          <w:numId w:val="1002"/>
        </w:numPr>
      </w:pPr>
      <w:r>
        <w:rPr>
          <w:i/>
        </w:rPr>
        <w:t xml:space="preserve">Optional</w:t>
      </w:r>
      <w:r>
        <w:t xml:space="preserve"> </w:t>
      </w:r>
      <w:r>
        <w:t xml:space="preserve">Select</w:t>
      </w:r>
      <w:r>
        <w:t xml:space="preserve"> </w:t>
      </w:r>
      <w:r>
        <w:rPr>
          <w:rStyle w:val="VerbatimChar"/>
        </w:rPr>
        <w:t xml:space="preserve">Protocol</w:t>
      </w:r>
      <w:r>
        <w:t xml:space="preserve"> </w:t>
      </w:r>
      <w:r>
        <w:t xml:space="preserve">in the session tree to change measurement order</w:t>
      </w:r>
      <w:r>
        <w:t xml:space="preserve"> </w:t>
      </w:r>
      <w:r>
        <w:t xml:space="preserve">and delay</w:t>
      </w:r>
    </w:p>
    <w:p>
      <w:pPr>
        <w:numPr>
          <w:ilvl w:val="0"/>
          <w:numId w:val="1002"/>
        </w:numPr>
      </w:pPr>
      <w:r>
        <w:rPr>
          <w:i/>
        </w:rPr>
        <w:t xml:space="preserve">Optional</w:t>
      </w:r>
      <w:r>
        <w:t xml:space="preserve"> </w:t>
      </w:r>
      <w:r>
        <w:t xml:space="preserve">Select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 </w:t>
      </w:r>
      <w:r>
        <w:t xml:space="preserve">to customize the output of your results</w:t>
      </w:r>
    </w:p>
    <w:p>
      <w:pPr>
        <w:numPr>
          <w:ilvl w:val="0"/>
          <w:numId w:val="1002"/>
        </w:numPr>
      </w:pPr>
      <w:r>
        <w:t xml:space="preserve">In the bottom left of the window, click the button with the red arrow to</w:t>
      </w:r>
      <w:r>
        <w:t xml:space="preserve"> </w:t>
      </w:r>
      <w:r>
        <w:t xml:space="preserve">eject the plate reader tray</w:t>
      </w:r>
    </w:p>
    <w:p>
      <w:pPr>
        <w:numPr>
          <w:ilvl w:val="0"/>
          <w:numId w:val="1000"/>
        </w:numPr>
      </w:pPr>
      <w:r>
        <w:drawing>
          <wp:inline>
            <wp:extent cx="3173648" cy="1143000"/>
            <wp:effectExtent b="0" l="0" r="0" t="0"/>
            <wp:docPr descr="eject" title="" id="1" name="Picture"/>
            <a:graphic>
              <a:graphicData uri="http://schemas.openxmlformats.org/drawingml/2006/picture">
                <pic:pic>
                  <pic:nvPicPr>
                    <pic:cNvPr descr="images/plate_contro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648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02"/>
        </w:numPr>
      </w:pPr>
      <w:r>
        <w:t xml:space="preserve">Insert the plate into the tray</w:t>
      </w:r>
      <w:r>
        <w:t xml:space="preserve"> </w:t>
      </w:r>
      <w:r>
        <w:rPr>
          <w:b/>
        </w:rPr>
        <w:t xml:space="preserve">with the lid off</w:t>
      </w:r>
      <w:r>
        <w:t xml:space="preserve">. Leaving the lid on will</w:t>
      </w:r>
      <w:r>
        <w:t xml:space="preserve"> </w:t>
      </w:r>
      <w:r>
        <w:t xml:space="preserve">cause a jam</w:t>
      </w:r>
    </w:p>
    <w:p>
      <w:pPr>
        <w:numPr>
          <w:ilvl w:val="0"/>
          <w:numId w:val="1002"/>
        </w:numPr>
      </w:pPr>
      <w:r>
        <w:t xml:space="preserve">Click the button with the green upwards arrow to insert the plate into the</w:t>
      </w:r>
      <w:r>
        <w:t xml:space="preserve"> </w:t>
      </w:r>
      <w:r>
        <w:t xml:space="preserve">instrument</w:t>
      </w:r>
    </w:p>
    <w:p>
      <w:pPr>
        <w:numPr>
          <w:ilvl w:val="0"/>
          <w:numId w:val="1002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to begin the assay. Save your experiment with the appropriate</w:t>
      </w:r>
      <w:r>
        <w:t xml:space="preserve"> </w:t>
      </w:r>
      <w:r>
        <w:t xml:space="preserve">directory and filename</w:t>
      </w:r>
    </w:p>
    <w:bookmarkEnd w:id="23"/>
    <w:bookmarkStart w:id="26" w:name="reporting"/>
    <w:p>
      <w:pPr>
        <w:pStyle w:val="Heading2"/>
      </w:pPr>
      <w:r>
        <w:t xml:space="preserve">Reporting</w:t>
      </w:r>
    </w:p>
    <w:p>
      <w:pPr>
        <w:numPr>
          <w:ilvl w:val="0"/>
          <w:numId w:val="1003"/>
        </w:numPr>
        <w:pStyle w:val="Compact"/>
      </w:pPr>
      <w:r>
        <w:t xml:space="preserve">Under the</w:t>
      </w:r>
      <w:r>
        <w:t xml:space="preserve"> </w:t>
      </w:r>
      <w:r>
        <w:rPr>
          <w:rStyle w:val="VerbatimChar"/>
        </w:rPr>
        <w:t xml:space="preserve">Report</w:t>
      </w:r>
      <w:r>
        <w:t xml:space="preserve"> </w:t>
      </w:r>
      <w:r>
        <w:t xml:space="preserve">branch, click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. From the top right, select your</w:t>
      </w:r>
      <w:r>
        <w:t xml:space="preserve"> </w:t>
      </w:r>
      <w:r>
        <w:t xml:space="preserve">desired reporting format to export.</w:t>
      </w:r>
    </w:p>
    <w:p>
      <w:pPr>
        <w:pStyle w:val="FirstParagraph"/>
      </w:pPr>
      <w:r>
        <w:t xml:space="preserve">For more information see the full instruction manuals at</w:t>
      </w:r>
    </w:p>
    <w:p>
      <w:pPr>
        <w:pStyle w:val="BodyText"/>
      </w:pPr>
      <w:hyperlink r:id="rId24">
        <w:r>
          <w:rPr>
            <w:rStyle w:val="Hyperlink"/>
          </w:rPr>
          <w:t xml:space="preserve">https://assets.thermofisher.com/TFS-Assets/LCD/manuals/Varioskan-LUX-Technical-Manual.pdf</w:t>
        </w:r>
      </w:hyperlink>
    </w:p>
    <w:p>
      <w:pPr>
        <w:pStyle w:val="BodyText"/>
      </w:pPr>
      <w:r>
        <w:t xml:space="preserve">and</w:t>
      </w:r>
    </w:p>
    <w:p>
      <w:pPr>
        <w:pStyle w:val="BodyText"/>
      </w:pPr>
      <w:hyperlink r:id="rId25">
        <w:r>
          <w:rPr>
            <w:rStyle w:val="Hyperlink"/>
          </w:rPr>
          <w:t xml:space="preserve">https://assets.thermofisher.com/TFS-Assets/LCD/manuals/Varioskan-LUX-User-Manual.pdf</w:t>
        </w:r>
      </w:hyperlink>
    </w:p>
    <w:bookmarkEnd w:id="26"/>
    <w:sectPr w:rsidR="002924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3CA3BD" w14:textId="780F24A6" w:rsidR="0034002D" w:rsidRDefault="0034002D">
    <w:pPr>
      <w:pStyle w:val="Footer"/>
    </w:pPr>
    <w:r>
      <w:t>Revised December 18, 2020</w:t>
    </w:r>
    <w:r>
      <w:ptab w:relativeTo="margin" w:alignment="center" w:leader="none"/>
    </w:r>
    <w:r w:rsidR="00B60E28" w:rsidRPr="00B60E28">
      <w:fldChar w:fldCharType="begin"/>
    </w:r>
    <w:r w:rsidR="00B60E28" w:rsidRPr="00B60E28">
      <w:instrText xml:space="preserve"> PAGE  \* Arabic  \* MERGEFORMAT </w:instrText>
    </w:r>
    <w:r w:rsidR="00B60E28" w:rsidRPr="00B60E28">
      <w:fldChar w:fldCharType="separate"/>
    </w:r>
    <w:r w:rsidR="00B60E28" w:rsidRPr="00B60E28">
      <w:rPr>
        <w:noProof/>
      </w:rPr>
      <w:t>1</w:t>
    </w:r>
    <w:r w:rsidR="00B60E28" w:rsidRPr="00B60E28">
      <w:fldChar w:fldCharType="end"/>
    </w:r>
    <w:r w:rsidR="00B60E28">
      <w:t>/</w:t>
    </w:r>
    <w:r w:rsidR="00B60E28" w:rsidRPr="00B60E28">
      <w:fldChar w:fldCharType="begin"/>
    </w:r>
    <w:r w:rsidR="00B60E28" w:rsidRPr="00B60E28">
      <w:instrText xml:space="preserve"> NUMPAGES  \* Arabic  \* MERGEFORMAT </w:instrText>
    </w:r>
    <w:r w:rsidR="00B60E28" w:rsidRPr="00B60E28">
      <w:fldChar w:fldCharType="separate"/>
    </w:r>
    <w:r w:rsidR="00B60E28" w:rsidRPr="00B60E28">
      <w:rPr>
        <w:noProof/>
      </w:rPr>
      <w:t>2</w:t>
    </w:r>
    <w:r w:rsidR="00B60E28" w:rsidRPr="00B60E28">
      <w:fldChar w:fldCharType="end"/>
    </w:r>
    <w:r>
      <w:ptab w:relativeTo="margin" w:alignment="right" w:leader="none"/>
    </w:r>
    <w:r>
      <w:t>Morimoto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ABFD4" w14:textId="330CB4C5" w:rsidR="0034002D" w:rsidRDefault="0034002D">
    <w:pPr>
      <w:pStyle w:val="Header"/>
    </w:pPr>
    <w:r>
      <w:t>Department of Chemistry, Tufts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5C36D70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66422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47261bad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4002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4002D"/>
  </w:style>
  <w:style w:type="paragraph" w:styleId="Footer">
    <w:name w:val="footer"/>
    <w:basedOn w:val="Normal"/>
    <w:link w:val="FooterChar"/>
    <w:uiPriority w:val="99"/>
    <w:unhideWhenUsed/>
    <w:rsid w:val="0034002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0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0" Target="media/rId20.jpg" /><Relationship Type="http://schemas.openxmlformats.org/officeDocument/2006/relationships/image" Id="rId22" Target="media/rId22.png" /><Relationship Type="http://schemas.openxmlformats.org/officeDocument/2006/relationships/hyperlink" Id="rId24" Target="https://assets.thermofisher.com/TFS-Assets/LCD/manuals/Varioskan-LUX-Technical-Manual.pdf" TargetMode="External" /><Relationship Type="http://schemas.openxmlformats.org/officeDocument/2006/relationships/hyperlink" Id="rId25" Target="https://assets.thermofisher.com/TFS-Assets/LCD/manuals/Varioskan-LUX-User-Manual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ssets.thermofisher.com/TFS-Assets/LCD/manuals/Varioskan-LUX-Technical-Manual.pdf" TargetMode="External" /><Relationship Type="http://schemas.openxmlformats.org/officeDocument/2006/relationships/hyperlink" Id="rId25" Target="https://assets.thermofisher.com/TFS-Assets/LCD/manuals/Varioskan-LUX-User-Manual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Varioskan LUX Plate Reader</dc:title>
  <dc:creator/>
  <cp:keywords/>
  <dcterms:created xsi:type="dcterms:W3CDTF">2020-12-19T00:50:48Z</dcterms:created>
  <dcterms:modified xsi:type="dcterms:W3CDTF">2020-12-19T00:50:48Z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