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Corps, handicap et école : micro-violences, invisibilisation et conscientisation des structures de pouvoir en France</w:t>
      </w:r>
    </w:p>
    <w:p>
      <w:pPr>
        <w:jc w:val="center"/>
      </w:pPr>
      <w:r>
        <w:rPr>
          <w:rFonts w:ascii="Times New Roman" w:hAnsi="Times New Roman"/>
          <w:sz w:val="24"/>
        </w:rPr>
        <w:t>Jean-Michel Perez &amp; Géraldine Suau</w:t>
      </w:r>
    </w:p>
    <w:p>
      <w:pPr>
        <w:jc w:val="center"/>
      </w:pPr>
      <w:r>
        <w:rPr>
          <w:rFonts w:ascii="Times New Roman" w:hAnsi="Times New Roman"/>
          <w:i/>
          <w:sz w:val="22"/>
        </w:rPr>
        <w:t>Université de Lorraine, LISEC (UR 2310), France</w:t>
      </w:r>
    </w:p>
    <w:p/>
    <w:p>
      <w:pPr>
        <w:jc w:val="center"/>
      </w:pPr>
      <w:r>
        <w:rPr>
          <w:rFonts w:ascii="Times New Roman" w:hAnsi="Times New Roman"/>
          <w:i/>
          <w:sz w:val="20"/>
        </w:rPr>
        <w:t>IVe Congrès international de sciences humaines — UNSAM, Argentine, novembre 2026</w:t>
      </w:r>
    </w:p>
    <w:p>
      <w:pPr>
        <w:jc w:val="center"/>
      </w:pPr>
      <w:r>
        <w:rPr>
          <w:rFonts w:ascii="Times New Roman" w:hAnsi="Times New Roman"/>
          <w:i/>
          <w:sz w:val="20"/>
        </w:rPr>
        <w:t>MESA 2. Corps handicapés et politiques d'in/exclusion : futurs (à) venir</w:t>
      </w:r>
    </w:p>
    <w:p>
      <w:pPr>
        <w:jc w:val="center"/>
      </w:pPr>
      <w:r>
        <w:rPr>
          <w:rFonts w:ascii="Times New Roman" w:hAnsi="Times New Roman"/>
          <w:sz w:val="20"/>
        </w:rPr>
        <w:t>Résumé soumis le 30/03/2026 — Accepté le 26/04/2026</w:t>
      </w:r>
    </w:p>
    <w:p/>
    <w:p>
      <w:pPr>
        <w:jc w:val="center"/>
      </w:pPr>
      <w:r>
        <w:rPr>
          <w:sz w:val="20"/>
        </w:rPr>
        <w:t>—  —  —</w:t>
      </w:r>
    </w:p>
    <w:p/>
    <w:p>
      <w:pPr>
        <w:spacing w:after="120"/>
        <w:ind w:firstLine="567"/>
        <w:jc w:val="both"/>
      </w:pPr>
      <w:r>
        <w:rPr>
          <w:rFonts w:ascii="Times New Roman" w:hAnsi="Times New Roman"/>
          <w:sz w:val="24"/>
        </w:rPr>
        <w:t>La pédagogie ordinaire en France entretient un rapport paradoxal au corps de l'élève : elle le mobilise en permanence (assis, immobile, attentif, écrivant) mais ne le pense pas. Ce corps est à la fois requis et nié - soumis à des normes posturales, temporelles et spatiales qui ne font l'objet d'aucune explicitation ni d'aucun questionnement professionnel. Pour l'élève en situation de handicap, cette non-prise en compte se transforme en double peine : son corps ne se contente pas d'être ignoré - il révèle, par sa seule présence, tout ce que l'institution refuse de voir dans son propre fonctionnement.</w:t>
      </w:r>
    </w:p>
    <w:p>
      <w:pPr>
        <w:spacing w:after="120"/>
        <w:ind w:firstLine="567"/>
        <w:jc w:val="both"/>
      </w:pPr>
      <w:r>
        <w:rPr>
          <w:rFonts w:ascii="Times New Roman" w:hAnsi="Times New Roman"/>
          <w:sz w:val="24"/>
        </w:rPr>
        <w:t>Nous qualifions ces effets de micro-violences : atteintes ordinaires à la dignité de l'élève, banalisées par l'institution et imperceptibles pour qui les produit - mais ressenties par celui qui les subit sans disposer des ressources pour les nommer. Pour l'élève en situation de handicap, ces micro-violences se trouvent amplifiées par l'écart entre les aménagements déclarés et les conditions réelles d'accueil de son corps dans l'espace scolaire.</w:t>
      </w:r>
    </w:p>
    <w:p>
      <w:pPr>
        <w:spacing w:after="120"/>
        <w:ind w:firstLine="567"/>
        <w:jc w:val="both"/>
      </w:pPr>
      <w:r>
        <w:rPr>
          <w:rFonts w:ascii="Times New Roman" w:hAnsi="Times New Roman"/>
          <w:sz w:val="24"/>
        </w:rPr>
        <w:t>À partir de données qualitatives recueillies dans plusieurs contextes éducatifs (école, université, formation des enseignants), nous montrons comment le corps handicapé constitue, sur le territoire national, le révélateur le plus aigu de ce que Brunsson (1989) nomme hypocrisie organisationnelle : l'institution déclare accueillir tous les corps, mais ne modifie ni ses espaces, ni ses rythmes, ni ses normes pour le faire. Le handicap ne crée pas le problème - il le rend visible.</w:t>
      </w:r>
    </w:p>
    <w:p>
      <w:pPr>
        <w:spacing w:after="120"/>
        <w:ind w:firstLine="567"/>
        <w:jc w:val="both"/>
      </w:pPr>
      <w:r>
        <w:rPr>
          <w:rFonts w:ascii="Times New Roman" w:hAnsi="Times New Roman"/>
          <w:i/>
          <w:sz w:val="22"/>
        </w:rPr>
        <w:t>Mots-clés : micro-violences, corps, handicap, conscientisation, structures de pouvoir, hypocrisie organisationnelle.</w:t>
      </w:r>
    </w:p>
    <w:p/>
    <w:p>
      <w:pPr>
        <w:jc w:val="center"/>
      </w:pPr>
      <w:r>
        <w:rPr>
          <w:rFonts w:ascii="Times New Roman" w:hAnsi="Times New Roman"/>
          <w:sz w:val="20"/>
        </w:rPr>
        <w:t>—  —  —</w:t>
      </w:r>
    </w:p>
    <w:p/>
    <w:p>
      <w:r>
        <w:rPr>
          <w:rFonts w:ascii="Times New Roman" w:hAnsi="Times New Roman"/>
          <w:b/>
          <w:sz w:val="24"/>
        </w:rPr>
        <w:t>Références bibliographiques</w:t>
      </w:r>
    </w:p>
    <w:p/>
    <w:p>
      <w:pPr>
        <w:spacing w:after="80"/>
        <w:ind w:left="567" w:hanging="567"/>
      </w:pPr>
      <w:r>
        <w:rPr>
          <w:rFonts w:ascii="Times New Roman" w:hAnsi="Times New Roman"/>
          <w:sz w:val="22"/>
        </w:rPr>
        <w:t>Bourdieu, P. &amp; Champagne, P. (1992). Les Exclus de l'intérieur. Actes de la recherche en sciences sociales, 91-92, p. 71-75.</w:t>
      </w:r>
    </w:p>
    <w:p>
      <w:pPr>
        <w:spacing w:after="80"/>
        <w:ind w:left="567" w:hanging="567"/>
      </w:pPr>
      <w:r>
        <w:rPr>
          <w:rFonts w:ascii="Times New Roman" w:hAnsi="Times New Roman"/>
          <w:sz w:val="22"/>
        </w:rPr>
        <w:t>Brunsson, N. (1989). The Organization of Hypocrisy: Talk, Decisions and Actions in Organizations. Wiley.</w:t>
      </w:r>
    </w:p>
    <w:p>
      <w:pPr>
        <w:spacing w:after="80"/>
        <w:ind w:left="567" w:hanging="567"/>
      </w:pPr>
      <w:r>
        <w:rPr>
          <w:rFonts w:ascii="Times New Roman" w:hAnsi="Times New Roman"/>
          <w:sz w:val="22"/>
        </w:rPr>
        <w:t>Foucault, M. (1975). Surveiller et punir. Gallimard.</w:t>
      </w:r>
    </w:p>
    <w:p>
      <w:pPr>
        <w:spacing w:after="80"/>
        <w:ind w:left="567" w:hanging="567"/>
      </w:pPr>
      <w:r>
        <w:rPr>
          <w:rFonts w:ascii="Times New Roman" w:hAnsi="Times New Roman"/>
          <w:sz w:val="22"/>
        </w:rPr>
        <w:t>Lemoine, S. (2017). Micro-violences. Le régime du pouvoir au quotidien. CNRS éditions.</w:t>
      </w:r>
    </w:p>
    <w:p>
      <w:pPr>
        <w:spacing w:after="80"/>
        <w:ind w:left="567" w:hanging="567"/>
      </w:pPr>
      <w:r>
        <w:rPr>
          <w:rFonts w:ascii="Times New Roman" w:hAnsi="Times New Roman"/>
          <w:sz w:val="22"/>
        </w:rPr>
        <w:t>Milgram, S. (2017). Soumission à l'autorité. Pluriel.</w:t>
      </w:r>
    </w:p>
    <w:p>
      <w:pPr>
        <w:spacing w:after="80"/>
        <w:ind w:left="567" w:hanging="567"/>
      </w:pPr>
      <w:r>
        <w:rPr>
          <w:rFonts w:ascii="Times New Roman" w:hAnsi="Times New Roman"/>
          <w:sz w:val="22"/>
        </w:rPr>
        <w:t>Muller, L. &amp; Perez, J.-M. (2024). Comprendre les micro-violences en éducation. Champ social.</w:t>
      </w:r>
    </w:p>
    <w:p>
      <w:pPr>
        <w:spacing w:after="80"/>
        <w:ind w:left="567" w:hanging="567"/>
      </w:pPr>
      <w:r>
        <w:rPr>
          <w:rFonts w:ascii="Times New Roman" w:hAnsi="Times New Roman"/>
          <w:sz w:val="22"/>
        </w:rPr>
        <w:t>Perez, J.-M. (2018). Habilitation à diriger des recherches. Université de Lorraine.</w:t>
      </w:r>
    </w:p>
    <w:p>
      <w:pPr>
        <w:spacing w:after="80"/>
        <w:ind w:left="567" w:hanging="567"/>
      </w:pPr>
      <w:r>
        <w:rPr>
          <w:rFonts w:ascii="Times New Roman" w:hAnsi="Times New Roman"/>
          <w:sz w:val="22"/>
        </w:rPr>
        <w:t>Perez, J.-M. (2022). Étude sur l'influence du « chercheur-apprenant » dans des recherches collectives en éducation. Questions Vives, 36.</w:t>
      </w:r>
    </w:p>
    <w:p>
      <w:pPr>
        <w:spacing w:after="80"/>
        <w:ind w:left="567" w:hanging="567"/>
      </w:pPr>
      <w:r>
        <w:rPr>
          <w:rFonts w:ascii="Times New Roman" w:hAnsi="Times New Roman"/>
          <w:sz w:val="22"/>
        </w:rPr>
        <w:t>Perez, J.-M. (2025). Des micro-violences éducatives à la reliance scolaire. La Nouvelle Revue – Éducation et société inclusives, 103, p. 146.</w:t>
      </w:r>
    </w:p>
    <w:p>
      <w:pPr>
        <w:spacing w:after="80"/>
        <w:ind w:left="567" w:hanging="567"/>
      </w:pPr>
      <w:r>
        <w:rPr>
          <w:rFonts w:ascii="Times New Roman" w:hAnsi="Times New Roman"/>
          <w:sz w:val="22"/>
        </w:rPr>
        <w:t>Perez, J.-M. &amp; Suau, G. (2025). Université inclusive, résistances aux changements et enjeux d'une formation des maîtres de conférences stagiaires. La Nouvelle Revue – Éducation et société inclusives, 102, p. 139-151.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