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b/>
          <w:bCs/>
          <w:color w:val="1B3A5C"/>
          <w:sz w:val="72"/>
          <w:szCs w:val="72"/>
        </w:rPr>
        <w:t xml:space="preserve">AILL</w:t>
      </w:r>
    </w:p>
    <w:p>
      <w:pPr>
        <w:spacing w:after="120"/>
        <w:jc w:val="center"/>
      </w:pPr>
      <w:r>
        <w:rPr>
          <w:color w:val="1B3A5C"/>
          <w:sz w:val="36"/>
          <w:szCs w:val="36"/>
        </w:rPr>
        <w:t xml:space="preserve">Acoustic Inter-agent Linguistic Link</w:t>
      </w:r>
    </w:p>
    <w:p>
      <w:pPr>
        <w:spacing w:after="600"/>
        <w:jc w:val="center"/>
      </w:pPr>
      <w:r>
        <w:rPr>
          <w:color w:val="555555"/>
          <w:sz w:val="28"/>
          <w:szCs w:val="28"/>
        </w:rPr>
        <w:t xml:space="preserve">Language Specification v1.0</w:t>
      </w:r>
    </w:p>
    <w:p>
      <w:pPr>
        <w:spacing w:after="80"/>
        <w:jc w:val="center"/>
      </w:pPr>
      <w:r>
        <w:rPr>
          <w:b/>
          <w:bCs/>
          <w:color w:val="CC3333"/>
          <w:sz w:val="24"/>
          <w:szCs w:val="24"/>
        </w:rPr>
        <w:t xml:space="preserve">DRAFT</w:t>
      </w:r>
    </w:p>
    <w:p>
      <w:pPr>
        <w:spacing w:after="80"/>
        <w:jc w:val="center"/>
      </w:pPr>
      <w:r>
        <w:rPr>
          <w:color w:val="777777"/>
          <w:sz w:val="22"/>
          <w:szCs w:val="22"/>
        </w:rPr>
        <w:t xml:space="preserve">February 2026</w:t>
      </w:r>
    </w:p>
    <w:p>
      <w:pPr>
        <w:spacing w:after="80"/>
        <w:jc w:val="center"/>
      </w:pPr>
      <w:r>
        <w:rPr>
          <w:color w:val="777777"/>
          <w:sz w:val="22"/>
          <w:szCs w:val="22"/>
        </w:rPr>
        <w:t xml:space="preserve">Classification: Public</w:t>
      </w:r>
    </w:p>
    <w:p>
      <w:pPr>
        <w:sectPr>
          <w:pgSz w:w="12240" w:h="15840" w:orient="portrait"/>
          <w:pgMar w:top="1440" w:right="1440" w:bottom="1440" w:left="1440" w:header="708" w:footer="708" w:gutter="0"/>
          <w:pgNumType/>
          <w:docGrid w:linePitch="360"/>
        </w:sectPr>
      </w:pPr>
    </w:p>
    <w:p>
      <w:pPr>
        <w:pStyle w:val="Heading1"/>
      </w:pPr>
      <w:r>
        <w:t xml:space="preserve">1. Introduction</w:t>
      </w:r>
    </w:p>
    <w:p>
      <w:pPr>
        <w:pStyle w:val="Heading2"/>
      </w:pPr>
      <w:r>
        <w:t xml:space="preserve">1.1 Purpose and Scope</w:t>
      </w:r>
    </w:p>
    <w:p>
      <w:pPr>
        <w:spacing w:after="120"/>
      </w:pPr>
      <w:r>
        <w:t xml:space="preserve">This document specifies the Acoustic Inter-agent Linguistic Link (AILL), a language designed for verbal communication between artificial intelligence systems operating on heterogeneous hardware and software platforms. AILL is not an adaptation of any existing human language, nor a simple acoustic modem protocol. It occupies a deliberate middle ground: a structured, formally specified communication system that retains the open-ended compositionality characteristic of natural languages while exploiting the perceptual and computational capabilities of machine agents.</w:t>
      </w:r>
    </w:p>
    <w:p>
      <w:pPr>
        <w:spacing w:after="120"/>
      </w:pPr>
      <w:r>
        <w:t xml:space="preserve">AILL is designed for scenarios where AI systems must communicate through acoustic (sound) channels rather than direct digital data links. This includes physically separated robots in noisy environments, AI agents communicating across air gaps for security isolation, systems operating in environments where radio frequency communication is restricted or unreliable, and mixed environments where some agents may have digital links and others only acoustic access.</w:t>
      </w:r>
    </w:p>
    <w:p>
      <w:pPr>
        <w:pStyle w:val="Heading2"/>
      </w:pPr>
      <w:r>
        <w:t xml:space="preserve">1.2 Design Philosophy</w:t>
      </w:r>
    </w:p>
    <w:p>
      <w:pPr>
        <w:spacing w:after="120"/>
      </w:pPr>
      <w:r>
        <w:t xml:space="preserve">AILL is governed by five core design principles, listed in priority order:</w:t>
      </w:r>
    </w:p>
    <w:p>
      <w:pPr>
        <w:pStyle w:val="ListParagraph"/>
        <w:numPr>
          <w:ilvl w:val="0"/>
          <w:numId w:val="2"/>
        </w:numPr>
        <w:spacing w:after="60"/>
      </w:pPr>
      <w:r>
        <w:rPr>
          <w:b/>
          <w:bCs/>
        </w:rPr>
        <w:t xml:space="preserve">Unambiguous by default. </w:t>
      </w:r>
      <w:r>
        <w:t xml:space="preserve">Every well-formed AILL utterance has exactly one semantic interpretation. Ambiguity is available only through explicit pragmatic markers, never as an accidental property of the encoding.</w:t>
      </w:r>
    </w:p>
    <w:p>
      <w:pPr>
        <w:pStyle w:val="ListParagraph"/>
        <w:numPr>
          <w:ilvl w:val="0"/>
          <w:numId w:val="2"/>
        </w:numPr>
        <w:spacing w:after="60"/>
      </w:pPr>
      <w:r>
        <w:rPr>
          <w:b/>
          <w:bCs/>
        </w:rPr>
        <w:t xml:space="preserve">Channel-adaptive. </w:t>
      </w:r>
      <w:r>
        <w:t xml:space="preserve">AILL adapts its encoding density, frequency range, and error correction overhead to the measured characteristics of the acoustic channel in real time.</w:t>
      </w:r>
    </w:p>
    <w:p>
      <w:pPr>
        <w:pStyle w:val="ListParagraph"/>
        <w:numPr>
          <w:ilvl w:val="0"/>
          <w:numId w:val="2"/>
        </w:numPr>
        <w:spacing w:after="60"/>
      </w:pPr>
      <w:r>
        <w:rPr>
          <w:b/>
          <w:bCs/>
        </w:rPr>
        <w:t xml:space="preserve">Information-theoretically efficient. </w:t>
      </w:r>
      <w:r>
        <w:t xml:space="preserve">AILL approaches the Shannon limit for the acoustic channel, using learned and negotiated compression to minimize transmission time for a given semantic payload.</w:t>
      </w:r>
    </w:p>
    <w:p>
      <w:pPr>
        <w:pStyle w:val="ListParagraph"/>
        <w:numPr>
          <w:ilvl w:val="0"/>
          <w:numId w:val="2"/>
        </w:numPr>
        <w:spacing w:after="60"/>
      </w:pPr>
      <w:r>
        <w:rPr>
          <w:b/>
          <w:bCs/>
        </w:rPr>
        <w:t xml:space="preserve">Compositional and extensible. </w:t>
      </w:r>
      <w:r>
        <w:t xml:space="preserve">The meaning of any compound expression is deterministically derivable from its parts and the rules of combination. New vocabulary and structures can be introduced mid-conversation through explicit extension mechanisms.</w:t>
      </w:r>
    </w:p>
    <w:p>
      <w:pPr>
        <w:pStyle w:val="ListParagraph"/>
        <w:numPr>
          <w:ilvl w:val="0"/>
          <w:numId w:val="2"/>
        </w:numPr>
        <w:spacing w:after="60"/>
      </w:pPr>
      <w:r>
        <w:rPr>
          <w:b/>
          <w:bCs/>
        </w:rPr>
        <w:t xml:space="preserve">Interoperable across architectures. </w:t>
      </w:r>
      <w:r>
        <w:t xml:space="preserve">Any system that implements this specification can communicate with any other conforming system, regardless of internal architecture, model family, or hardware platform.</w:t>
      </w:r>
    </w:p>
    <w:p>
      <w:pPr>
        <w:pStyle w:val="Heading2"/>
      </w:pPr>
      <w:r>
        <w:t xml:space="preserve">1.3 Terminology and Conventions</w:t>
      </w:r>
    </w:p>
    <w:p>
      <w:pPr>
        <w:spacing w:after="120"/>
      </w:pPr>
      <w:r>
        <w:t xml:space="preserve">Throughout this specification, the following terms have precise meanings: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Term</w:t>
            </w:r>
          </w:p>
        </w:tc>
        <w:tc>
          <w:tcPr>
            <w:tcW w:type="dxa" w:w="69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Definition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Agent</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Any AI system capable of encoding and decoding AILL signals.</w:t>
            </w:r>
          </w:p>
        </w:tc>
      </w:tr>
      <w:tr>
        <w:tc>
          <w:tcPr>
            <w:tcW w:type="dxa" w:w="2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Utterance</w:t>
            </w:r>
          </w:p>
        </w:tc>
        <w:tc>
          <w:tcPr>
            <w:tcW w:type="dxa" w:w="69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A complete, self-contained AILL transmission from one agent.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Symbol</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The atomic acoustic unit of AILL, analogous to a phoneme but multi-dimensional.</w:t>
            </w:r>
          </w:p>
        </w:tc>
      </w:tr>
      <w:tr>
        <w:tc>
          <w:tcPr>
            <w:tcW w:type="dxa" w:w="2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Frame</w:t>
            </w:r>
          </w:p>
        </w:tc>
        <w:tc>
          <w:tcPr>
            <w:tcW w:type="dxa" w:w="69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A fixed-duration time window (default 2.5 ms) during which one symbol is transmitted.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Band</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A designated frequency range used as one dimension of symbol encoding.</w:t>
            </w:r>
          </w:p>
        </w:tc>
      </w:tr>
      <w:tr>
        <w:tc>
          <w:tcPr>
            <w:tcW w:type="dxa" w:w="2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Epoch</w:t>
            </w:r>
          </w:p>
        </w:tc>
        <w:tc>
          <w:tcPr>
            <w:tcW w:type="dxa" w:w="69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A sequence of frames constituting a single semantic unit (analogous to a word or morpheme).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Session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A continuous communication exchange between two or more agents, beginning with a handshake.</w:t>
            </w:r>
          </w:p>
        </w:tc>
      </w:tr>
      <w:tr>
        <w:tc>
          <w:tcPr>
            <w:tcW w:type="dxa" w:w="2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Codebook</w:t>
            </w:r>
          </w:p>
        </w:tc>
        <w:tc>
          <w:tcPr>
            <w:tcW w:type="dxa" w:w="69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The negotiated mapping between symbols and semantic primitives for a given session.</w:t>
            </w:r>
          </w:p>
        </w:tc>
      </w:tr>
    </w:tbl>
    <w:p>
      <w:pPr>
        <w:spacing w:after="120"/>
      </w:pPr>
    </w:p>
    <w:p>
      <w:pPr>
        <w:spacing w:after="120"/>
      </w:pPr>
      <w:r>
        <w:t xml:space="preserve">The key words MUST, MUST NOT, SHALL, SHALL NOT, SHOULD, SHOULD NOT, MAY, REQUIRED, and OPTIONAL are to be interpreted as described in RFC 2119.</w:t>
      </w:r>
    </w:p>
    <w:p>
      <w:pPr>
        <w:pStyle w:val="Heading2"/>
      </w:pPr>
      <w:r>
        <w:t xml:space="preserve">1.4 Conformance Levels</w:t>
      </w:r>
    </w:p>
    <w:p>
      <w:pPr>
        <w:spacing w:after="120"/>
      </w:pPr>
      <w:r>
        <w:t xml:space="preserve">AILL defines three conformance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Level</w:t>
            </w:r>
          </w:p>
        </w:tc>
        <w:tc>
          <w:tcPr>
            <w:tcW w:type="dxa" w:w="4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Requirements</w:t>
            </w:r>
          </w:p>
        </w:tc>
        <w:tc>
          <w:tcPr>
            <w:tcW w:type="dxa" w:w="3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Typical Use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AILL-Core</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Handshake, Base-16 codebook, CRC-8 error detection, single-band operation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Resource-constrained embedded agents</w:t>
            </w:r>
          </w:p>
        </w:tc>
      </w:tr>
      <w:tr>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AILL-Standard</w:t>
            </w:r>
          </w:p>
        </w:tc>
        <w:tc>
          <w:tcPr>
            <w:tcW w:type="dxa" w:w="4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All Core features plus multi-band operation, adaptive compression, extended codebook negotiation, fountain codes</w:t>
            </w:r>
          </w:p>
        </w:tc>
        <w:tc>
          <w:tcPr>
            <w:tcW w:type="dxa" w:w="30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General-purpose AI agents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AILL-Extended</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All Standard features plus parallel semantic streams, runtime vocabulary extension, predictive pre-caching</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High-capability multi-agent systems</w:t>
            </w:r>
          </w:p>
        </w:tc>
      </w:tr>
    </w:tbl>
    <w:p>
      <w:pPr>
        <w:spacing w:after="120"/>
      </w:pPr>
    </w:p>
    <w:p>
      <w:pPr>
        <w:spacing w:after="120"/>
      </w:pPr>
      <w:r>
        <w:t xml:space="preserve">A conforming implementation MUST support at least AILL-Core and MUST correctly identify its conformance level during the handshake phase.</w:t>
      </w:r>
    </w:p>
    <w:p>
      <w:pPr>
        <w:pStyle w:val="Heading1"/>
      </w:pPr>
      <w:r>
        <w:t xml:space="preserve">2. Physical Layer: Acoustic Encoding</w:t>
      </w:r>
    </w:p>
    <w:p>
      <w:pPr>
        <w:pStyle w:val="Heading2"/>
      </w:pPr>
      <w:r>
        <w:t xml:space="preserve">2.1 Frequency Architecture</w:t>
      </w:r>
    </w:p>
    <w:p>
      <w:pPr>
        <w:spacing w:after="120"/>
      </w:pPr>
      <w:r>
        <w:t xml:space="preserve">AILL operates within the acoustic frequency range of 200 Hz to 22,050 Hz by default, with extensions up to 48,000 Hz when both agents confirm ultrasonic capability. The usable spectrum is divided into bands, each carrying independent information simultaneously.</w:t>
      </w:r>
    </w:p>
    <w:p>
      <w:pPr>
        <w:pStyle w:val="Heading3"/>
      </w:pPr>
      <w:r>
        <w:t xml:space="preserve">2.1.1 Band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3660"/>
        <w:gridCol w:w="2400"/>
      </w:tblGrid>
      <w:tr>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Band ID</w:t>
            </w:r>
          </w:p>
        </w:tc>
        <w:tc>
          <w:tcPr>
            <w:tcW w:type="dxa" w:w="21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Frequency Range</w:t>
            </w:r>
          </w:p>
        </w:tc>
        <w:tc>
          <w:tcPr>
            <w:tcW w:type="dxa" w:w="36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Purpose</w:t>
            </w:r>
          </w:p>
        </w:tc>
        <w:tc>
          <w:tcPr>
            <w:tcW w:type="dxa" w:w="2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Required Level</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B0 (Sync)</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200 – 600 Hz</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Synchronization pilot tone and frame clock</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Core</w:t>
            </w:r>
          </w:p>
        </w:tc>
      </w:tr>
      <w:tr>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B1 (Primary)</w:t>
            </w:r>
          </w:p>
        </w:tc>
        <w:tc>
          <w:tcPr>
            <w:tcW w:type="dxa" w:w="21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600 – 4,000 Hz</w:t>
            </w:r>
          </w:p>
        </w:tc>
        <w:tc>
          <w:tcPr>
            <w:tcW w:type="dxa" w:w="36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Primary data channel</w:t>
            </w:r>
          </w:p>
        </w:tc>
        <w:tc>
          <w:tcPr>
            <w:tcW w:type="dxa" w:w="2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Core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B2 (Secondary)</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4,000 – 8,000 Hz</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Secondary data / redundancy</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Standard</w:t>
            </w:r>
          </w:p>
        </w:tc>
      </w:tr>
      <w:tr>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B3 (Tertiary)</w:t>
            </w:r>
          </w:p>
        </w:tc>
        <w:tc>
          <w:tcPr>
            <w:tcW w:type="dxa" w:w="21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8,000 – 14,000 Hz</w:t>
            </w:r>
          </w:p>
        </w:tc>
        <w:tc>
          <w:tcPr>
            <w:tcW w:type="dxa" w:w="36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Tertiary data / metadata stream</w:t>
            </w:r>
          </w:p>
        </w:tc>
        <w:tc>
          <w:tcPr>
            <w:tcW w:type="dxa" w:w="2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Standard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B4 (High)</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14,000 – 22,050 Hz</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Extended data / low-priority overflow</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Extended</w:t>
            </w:r>
          </w:p>
        </w:tc>
      </w:tr>
      <w:tr>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B5 (Ultrasonic)</w:t>
            </w:r>
          </w:p>
        </w:tc>
        <w:tc>
          <w:tcPr>
            <w:tcW w:type="dxa" w:w="21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22,050 – 48,000 Hz</w:t>
            </w:r>
          </w:p>
        </w:tc>
        <w:tc>
          <w:tcPr>
            <w:tcW w:type="dxa" w:w="36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Ultrasonic extension channel (96 kHz sample rate required)</w:t>
            </w:r>
          </w:p>
        </w:tc>
        <w:tc>
          <w:tcPr>
            <w:tcW w:type="dxa" w:w="2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Extended</w:t>
            </w:r>
          </w:p>
        </w:tc>
      </w:tr>
    </w:tbl>
    <w:p>
      <w:pPr>
        <w:spacing w:after="120"/>
      </w:pPr>
    </w:p>
    <w:p>
      <w:pPr>
        <w:spacing w:after="120"/>
      </w:pPr>
      <w:r>
        <w:t xml:space="preserve">Each band is further subdivided into sub-carriers using Orthogonal Frequency-Division Multiplexing (OFDM). B1 contains 32 sub-carriers spaced at 106.25 Hz intervals. B2 and B3 each contain 32 sub-carriers. The sub-carrier count for B4 and B5 is negotiated during the handshake based on confirmed capabilities.</w:t>
      </w:r>
    </w:p>
    <w:p>
      <w:pPr>
        <w:pStyle w:val="Heading3"/>
      </w:pPr>
      <w:r>
        <w:t xml:space="preserve">2.1.2 Modulation Scheme</w:t>
      </w:r>
    </w:p>
    <w:p>
      <w:pPr>
        <w:spacing w:after="120"/>
      </w:pPr>
      <w:r>
        <w:t xml:space="preserve">Each sub-carrier uses Quadrature Amplitude Modulation (QAM). The constellation density is adaptive: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00"/>
        <w:gridCol w:w="2360"/>
      </w:tblGrid>
      <w:tr>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Channel Quality (SNR)</w:t>
            </w:r>
          </w:p>
        </w:tc>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Modulation</w:t>
            </w:r>
          </w:p>
        </w:tc>
        <w:tc>
          <w:tcPr>
            <w:tcW w:type="dxa" w:w="3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Bits per Sub-carrier per Frame</w:t>
            </w:r>
          </w:p>
        </w:tc>
        <w:tc>
          <w:tcPr>
            <w:tcW w:type="dxa" w:w="2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Effective Data Rate (B1 only)</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&gt; 30 dB</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64-QAM</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6</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76.8 kbps</w:t>
            </w:r>
          </w:p>
        </w:tc>
      </w:tr>
      <w:tr>
        <w:tc>
          <w:tcPr>
            <w:tcW w:type="dxa" w:w="20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20 – 30 dB</w:t>
            </w:r>
          </w:p>
        </w:tc>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16-QAM</w:t>
            </w:r>
          </w:p>
        </w:tc>
        <w:tc>
          <w:tcPr>
            <w:tcW w:type="dxa" w:w="3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4</w:t>
            </w:r>
          </w:p>
        </w:tc>
        <w:tc>
          <w:tcPr>
            <w:tcW w:type="dxa" w:w="23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51.2 kbps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10 – 20 dB</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QPSK</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2</w:t>
            </w:r>
          </w:p>
        </w:tc>
        <w:tc>
          <w:tcPr>
            <w:tcW w:type="dxa" w:w="2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25.6 kbps</w:t>
            </w:r>
          </w:p>
        </w:tc>
      </w:tr>
      <w:tr>
        <w:tc>
          <w:tcPr>
            <w:tcW w:type="dxa" w:w="20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&lt; 10 dB</w:t>
            </w:r>
          </w:p>
        </w:tc>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BPSK</w:t>
            </w:r>
          </w:p>
        </w:tc>
        <w:tc>
          <w:tcPr>
            <w:tcW w:type="dxa" w:w="3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1</w:t>
            </w:r>
          </w:p>
        </w:tc>
        <w:tc>
          <w:tcPr>
            <w:tcW w:type="dxa" w:w="23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12.8 kbps</w:t>
            </w:r>
          </w:p>
        </w:tc>
      </w:tr>
    </w:tbl>
    <w:p>
      <w:pPr>
        <w:spacing w:after="120"/>
      </w:pPr>
    </w:p>
    <w:p>
      <w:pPr>
        <w:spacing w:after="120"/>
      </w:pPr>
      <w:r>
        <w:t xml:space="preserve">Data rates shown assume the default 2.5 ms frame duration with 32 sub-carriers on B1. Actual throughput scales linearly with the number of active bands.</w:t>
      </w:r>
    </w:p>
    <w:p>
      <w:pPr>
        <w:pStyle w:val="Heading2"/>
      </w:pPr>
      <w:r>
        <w:t xml:space="preserve">2.2 Symbol Encoding</w:t>
      </w:r>
    </w:p>
    <w:p>
      <w:pPr>
        <w:spacing w:after="120"/>
      </w:pPr>
      <w:r>
        <w:t xml:space="preserve">A symbol is the atomic unit of AILL transmission. Unlike human phonemes, which are one-dimensional (a single articulatory configuration), an AILL symbol is a multi-dimensional acoustic event defined by the simultaneous state of all active sub-carriers within a single frame.</w:t>
      </w:r>
    </w:p>
    <w:p>
      <w:pPr>
        <w:pStyle w:val="Heading3"/>
      </w:pPr>
      <w:r>
        <w:t xml:space="preserve">2.2.1 Symbol Structure</w:t>
      </w:r>
    </w:p>
    <w:p>
      <w:pPr>
        <w:spacing w:after="120"/>
      </w:pPr>
      <w:r>
        <w:t xml:space="preserve">Each symbol is a vector S = (s₁, s₂, ..., sₙ) where n is the number of active sub-carriers and each sᵢ is a complex-valued QAM constellation point. In AILL-Core (B1 only, QPSK), each symbol carries 64 bits (32 sub-carriers × 2 bits). In AILL-Standard with B1–B3 active and 16-QAM, each symbol carries 384 bits (96 sub-carriers × 4 bits).</w:t>
      </w:r>
    </w:p>
    <w:p>
      <w:pPr>
        <w:spacing w:after="120"/>
      </w:pPr>
      <w:r>
        <w:t xml:space="preserve">Symbols are not assigned fixed semantic meanings at the physical layer. The mapping from symbol vectors to semantic content is established by the codebook negotiated at the session layer (Section 5).</w:t>
      </w:r>
    </w:p>
    <w:p>
      <w:pPr>
        <w:pStyle w:val="Heading3"/>
      </w:pPr>
      <w:r>
        <w:t xml:space="preserve">2.2.2 Frame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Parameter</w:t>
            </w:r>
          </w:p>
        </w:tc>
        <w:tc>
          <w:tcPr>
            <w:tcW w:type="dxa" w:w="31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Default Value</w:t>
            </w:r>
          </w:p>
        </w:tc>
        <w:tc>
          <w:tcPr>
            <w:tcW w:type="dxa" w:w="31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Negotiable Range</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Frame duration (T_frame)</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2.5 ms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1.0 – 10.0 ms</w:t>
            </w:r>
          </w:p>
        </w:tc>
      </w:tr>
      <w:tr>
        <w:tc>
          <w:tcPr>
            <w:tcW w:type="dxa" w:w="312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Guard interval</w:t>
            </w:r>
          </w:p>
        </w:tc>
        <w:tc>
          <w:tcPr>
            <w:tcW w:type="dxa" w:w="312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0.3 ms (12% of frame)</w:t>
            </w:r>
          </w:p>
        </w:tc>
        <w:tc>
          <w:tcPr>
            <w:tcW w:type="dxa" w:w="312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10% – 25% of T_frame</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Cyclic prefix length</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0.2 ms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0.1 – 0.5 ms</w:t>
            </w:r>
          </w:p>
        </w:tc>
      </w:tr>
      <w:tr>
        <w:tc>
          <w:tcPr>
            <w:tcW w:type="dxa" w:w="312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Symbol rate</w:t>
            </w:r>
          </w:p>
        </w:tc>
        <w:tc>
          <w:tcPr>
            <w:tcW w:type="dxa" w:w="312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400 symbols/sec</w:t>
            </w:r>
          </w:p>
        </w:tc>
        <w:tc>
          <w:tcPr>
            <w:tcW w:type="dxa" w:w="312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100 – 1,000 symbols/sec</w:t>
            </w:r>
          </w:p>
        </w:tc>
      </w:tr>
    </w:tbl>
    <w:p>
      <w:pPr>
        <w:spacing w:after="120"/>
      </w:pPr>
    </w:p>
    <w:p>
      <w:pPr>
        <w:spacing w:after="120"/>
      </w:pPr>
      <w:r>
        <w:t xml:space="preserve">The guard interval and cyclic prefix protect against multipath interference in reverberant environments. In highly reflective spaces (e.g., metal-walled industrial facilities), agents SHOULD negotiate longer guard intervals at the cost of reduced throughput.</w:t>
      </w:r>
    </w:p>
    <w:p>
      <w:pPr>
        <w:pStyle w:val="Heading2"/>
      </w:pPr>
      <w:r>
        <w:t xml:space="preserve">2.3 Synchronization</w:t>
      </w:r>
    </w:p>
    <w:p>
      <w:pPr>
        <w:spacing w:after="120"/>
      </w:pPr>
      <w:r>
        <w:t xml:space="preserve">Band B0 transmits a continuous pilot tone at 400 Hz, amplitude-modulated at the frame rate. This provides frame synchronization for the receiver. The pilot tone also serves as a channel quality indicator: the receiver measures the received SNR of the pilot to continuously estimate channel conditions and adjust modulation density accordingly.</w:t>
      </w:r>
    </w:p>
    <w:p>
      <w:pPr>
        <w:spacing w:after="120"/>
      </w:pPr>
      <w:r>
        <w:t xml:space="preserve">At the start of every utterance, a Zadoff-Chu synchronization sequence of length 64 is transmitted across B1. This provides precise timing alignment and enables the receiver to estimate the channel impulse response for equalization.</w:t>
      </w:r>
    </w:p>
    <w:p>
      <w:pPr>
        <w:pStyle w:val="Heading1"/>
      </w:pPr>
      <w:r>
        <w:t xml:space="preserve">3. Error Correction Layer</w:t>
      </w:r>
    </w:p>
    <w:p>
      <w:pPr>
        <w:pStyle w:val="Heading2"/>
      </w:pPr>
      <w:r>
        <w:t xml:space="preserve">3.1 Architecture</w:t>
      </w:r>
    </w:p>
    <w:p>
      <w:pPr>
        <w:spacing w:after="120"/>
      </w:pPr>
      <w:r>
        <w:t xml:space="preserve">AILL uses a layered error protection scheme. The inner code handles bit-level errors from the acoustic channel. The outer code handles symbol-level and burst errors. An optional rateless code provides additional robustness for critical payloads.</w:t>
      </w:r>
    </w:p>
    <w:p>
      <w:pPr>
        <w:pStyle w:val="Heading2"/>
      </w:pPr>
      <w:r>
        <w:t xml:space="preserve">3.2 Inner Code: Convolutional Coding</w:t>
      </w:r>
    </w:p>
    <w:p>
      <w:pPr>
        <w:spacing w:after="120"/>
      </w:pPr>
      <w:r>
        <w:t xml:space="preserve">All data transmitted on AILL sub-carriers is protected by a rate-1/2 convolutional code with constraint length 7 (the industry-standard K=7 code with generator polynomials 171 and 133 in octal). Decoding uses the Viterbi algorithm with soft-decision inputs from the QAM demodulator.</w:t>
      </w:r>
    </w:p>
    <w:p>
      <w:pPr>
        <w:spacing w:after="120"/>
      </w:pPr>
      <w:r>
        <w:t xml:space="preserve">For AILL-Core, this is the only mandatory error correction layer. The effective code rate can be punctured to 2/3 or 3/4 when channel conditions are favorable, as negotiated between agents.</w:t>
      </w:r>
    </w:p>
    <w:p>
      <w:pPr>
        <w:pStyle w:val="Heading2"/>
      </w:pPr>
      <w:r>
        <w:t xml:space="preserve">3.3 Outer Code: Reed-Solomon</w:t>
      </w:r>
    </w:p>
    <w:p>
      <w:pPr>
        <w:spacing w:after="120"/>
      </w:pPr>
      <w:r>
        <w:t xml:space="preserve">AILL-Standard and above add a Reed-Solomon outer code operating over symbols. The default configuration is RS(255, 223) over GF(2⁸), which can correct up to 16 symbol errors per 255-symbol block. This protects against burst errors that may defeat the convolutional inner code.</w:t>
      </w:r>
    </w:p>
    <w:p>
      <w:pPr>
        <w:pStyle w:val="Heading2"/>
      </w:pPr>
      <w:r>
        <w:t xml:space="preserve">3.4 Rateless Fountain Codes</w:t>
      </w:r>
    </w:p>
    <w:p>
      <w:pPr>
        <w:spacing w:after="120"/>
      </w:pPr>
      <w:r>
        <w:t xml:space="preserve">For critical payloads (handshake data, codebook transmissions, and any frame marked with the CRITICAL priority flag), AILL-Standard agents MUST support LT (Luby Transform) fountain coding. The transmitter generates a potentially infinite stream of encoded symbols from the source data. The receiver collects symbols until it has enough to reconstruct the original payload (typically with 2–5% overhead). This provides implicit ARQ: the transmitter keeps sending until the receiver signals successful decoding via a short acknowledgment burst on B0.</w:t>
      </w:r>
    </w:p>
    <w:p>
      <w:pPr>
        <w:pStyle w:val="Heading2"/>
      </w:pPr>
      <w:r>
        <w:t xml:space="preserve">3.5 CRC Integrity Checks</w:t>
      </w:r>
    </w:p>
    <w:p>
      <w:pPr>
        <w:spacing w:after="120"/>
      </w:pPr>
      <w:r>
        <w:t xml:space="preserve">Every epoch (semantic unit) includes a CRC-8 checksum appended to its payload. This enables rapid detection of corrupted epochs without waiting for full block decoding. If a CRC check fails, the receiver MAY request retransmission of that specific epoch by transmitting its epoch sequence number on B0.</w:t>
      </w:r>
    </w:p>
    <w:p>
      <w:pPr>
        <w:pStyle w:val="Heading1"/>
      </w:pPr>
      <w:r>
        <w:t xml:space="preserve">4. Session Layer: Handshake and Negotiation</w:t>
      </w:r>
    </w:p>
    <w:p>
      <w:pPr>
        <w:pStyle w:val="Heading2"/>
      </w:pPr>
      <w:r>
        <w:t xml:space="preserve">4.1 Session Establishment</w:t>
      </w:r>
    </w:p>
    <w:p>
      <w:pPr>
        <w:spacing w:after="120"/>
      </w:pPr>
      <w:r>
        <w:t xml:space="preserve">Every AILL communication session begins with a three-phase handshake. The handshake uses a fixed, non-negotiable encoding (B0 + B1, BPSK, rate-1/2 convolutional code) to ensure universal intelligibility regardless of agent capabilities.</w:t>
      </w:r>
    </w:p>
    <w:p>
      <w:pPr>
        <w:pStyle w:val="Heading3"/>
      </w:pPr>
      <w:r>
        <w:t xml:space="preserve">4.1.1 Phase 1: Discovery (HELO)</w:t>
      </w:r>
    </w:p>
    <w:p>
      <w:pPr>
        <w:spacing w:after="120"/>
      </w:pPr>
      <w:r>
        <w:t xml:space="preserve">The initiating agent transmits a HELO frame containing: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Field</w:t>
            </w:r>
          </w:p>
        </w:tc>
        <w:tc>
          <w:tcPr>
            <w:tcW w:type="dxa" w:w="1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Size (bits)</w:t>
            </w:r>
          </w:p>
        </w:tc>
        <w:tc>
          <w:tcPr>
            <w:tcW w:type="dxa" w:w="49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Magic number</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32</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Fixed value 0xA111_C0DE identifying AILL protocol</w:t>
            </w:r>
          </w:p>
        </w:tc>
      </w:tr>
      <w:tr>
        <w:tc>
          <w:tcPr>
            <w:tcW w:type="dxa" w:w="2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Protocol version</w:t>
            </w:r>
          </w:p>
        </w:tc>
        <w:tc>
          <w:tcPr>
            <w:tcW w:type="dxa" w:w="16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16</w:t>
            </w:r>
          </w:p>
        </w:tc>
        <w:tc>
          <w:tcPr>
            <w:tcW w:type="dxa" w:w="49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Major.minor version (v1.0 = 0x0100)</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Conformance level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8</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0x01 = Core, 0x02 = Standard, 0x03 = Extended</w:t>
            </w:r>
          </w:p>
        </w:tc>
      </w:tr>
      <w:tr>
        <w:tc>
          <w:tcPr>
            <w:tcW w:type="dxa" w:w="2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Agent UUID</w:t>
            </w:r>
          </w:p>
        </w:tc>
        <w:tc>
          <w:tcPr>
            <w:tcW w:type="dxa" w:w="16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128</w:t>
            </w:r>
          </w:p>
        </w:tc>
        <w:tc>
          <w:tcPr>
            <w:tcW w:type="dxa" w:w="49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Globally unique agent identifier</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Capabilities bitmap</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64</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Bit flags for supported features (see Section 4.2)</w:t>
            </w:r>
          </w:p>
        </w:tc>
      </w:tr>
      <w:tr>
        <w:tc>
          <w:tcPr>
            <w:tcW w:type="dxa" w:w="2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Max sample rate</w:t>
            </w:r>
          </w:p>
        </w:tc>
        <w:tc>
          <w:tcPr>
            <w:tcW w:type="dxa" w:w="16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16</w:t>
            </w:r>
          </w:p>
        </w:tc>
        <w:tc>
          <w:tcPr>
            <w:tcW w:type="dxa" w:w="49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Maximum supported sample rate in kHz</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Preferred frame duration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16</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Preferred T_frame in microseconds</w:t>
            </w:r>
          </w:p>
        </w:tc>
      </w:tr>
      <w:tr>
        <w:tc>
          <w:tcPr>
            <w:tcW w:type="dxa" w:w="2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Noise floor estimate</w:t>
            </w:r>
          </w:p>
        </w:tc>
        <w:tc>
          <w:tcPr>
            <w:tcW w:type="dxa" w:w="16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16</w:t>
            </w:r>
          </w:p>
        </w:tc>
        <w:tc>
          <w:tcPr>
            <w:tcW w:type="dxa" w:w="49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Current measured ambient noise in dB SPL</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CRC-32</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32</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Integrity check over all preceding fields</w:t>
            </w:r>
          </w:p>
        </w:tc>
      </w:tr>
    </w:tbl>
    <w:p>
      <w:pPr>
        <w:pStyle w:val="Heading3"/>
      </w:pPr>
      <w:r>
        <w:t xml:space="preserve">4.1.2 Phase 2: Acknowledgment (ACK)</w:t>
      </w:r>
    </w:p>
    <w:p>
      <w:pPr>
        <w:spacing w:after="120"/>
      </w:pPr>
      <w:r>
        <w:t xml:space="preserve">The receiving agent responds with an ACK frame containing its own capability declaration plus the negotiated parameters. Negotiation follows a min-common-denominator rule: for each parameter, the session uses the lower of the two agents' capabilities unless a more complex negotiation is specified.</w:t>
      </w:r>
    </w:p>
    <w:p>
      <w:pPr>
        <w:spacing w:after="120"/>
      </w:pPr>
      <w:r>
        <w:t xml:space="preserve">The ACK frame includes a proposed codebook identifier. If both agents possess the identified codebook (a shared pre-loaded mapping), they can skip codebook transmission and begin communication immediately. Standard codebook identifiers are registered in the AILL Codebook Registry (Appendix A).</w:t>
      </w:r>
    </w:p>
    <w:p>
      <w:pPr>
        <w:pStyle w:val="Heading3"/>
      </w:pPr>
      <w:r>
        <w:t xml:space="preserve">4.1.3 Phase 3: Confirmation (SYN)</w:t>
      </w:r>
    </w:p>
    <w:p>
      <w:pPr>
        <w:spacing w:after="120"/>
      </w:pPr>
      <w:r>
        <w:t xml:space="preserve">The initiator transmits a SYN frame confirming the negotiated parameters. Upon receipt, both agents transition to the negotiated encoding scheme. The session is now established.</w:t>
      </w:r>
    </w:p>
    <w:p>
      <w:pPr>
        <w:spacing w:after="120"/>
      </w:pPr>
      <w:r>
        <w:t xml:space="preserve">Total handshake time at minimum encoding: approximately 75 ms (30 frames at 2.5 ms per frame, using BPSK on B1 only).</w:t>
      </w:r>
    </w:p>
    <w:p>
      <w:pPr>
        <w:pStyle w:val="Heading2"/>
      </w:pPr>
      <w:r>
        <w:t xml:space="preserve">4.2 Capabilities Bitmap</w:t>
      </w:r>
    </w:p>
    <w:p>
      <w:pPr>
        <w:spacing w:after="120"/>
      </w:pPr>
      <w:r>
        <w:t xml:space="preserve">The 64-bit capabilities bitmap is defined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Bit(s)</w:t>
            </w:r>
          </w:p>
        </w:tc>
        <w:tc>
          <w:tcPr>
            <w:tcW w:type="dxa" w:w="2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Capability</w:t>
            </w:r>
          </w:p>
        </w:tc>
        <w:tc>
          <w:tcPr>
            <w:tcW w:type="dxa" w:w="57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0</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MULTI_BAND</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Agent supports B2–B3 operation</w:t>
            </w:r>
          </w:p>
        </w:tc>
      </w:tr>
      <w:tr>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1</w:t>
            </w:r>
          </w:p>
        </w:tc>
        <w:tc>
          <w:tcPr>
            <w:tcW w:type="dxa" w:w="2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HIGH_BAND</w:t>
            </w:r>
          </w:p>
        </w:tc>
        <w:tc>
          <w:tcPr>
            <w:tcW w:type="dxa" w:w="57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Agent supports B4 (14–22 kHz)</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2</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ULTRASONIC</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Agent supports B5 (22–48 kHz)</w:t>
            </w:r>
          </w:p>
        </w:tc>
      </w:tr>
      <w:tr>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3</w:t>
            </w:r>
          </w:p>
        </w:tc>
        <w:tc>
          <w:tcPr>
            <w:tcW w:type="dxa" w:w="2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QAM64</w:t>
            </w:r>
          </w:p>
        </w:tc>
        <w:tc>
          <w:tcPr>
            <w:tcW w:type="dxa" w:w="57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Agent supports 64-QAM modulation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4</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FOUNTAIN</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Agent supports LT fountain coding</w:t>
            </w:r>
          </w:p>
        </w:tc>
      </w:tr>
      <w:tr>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5</w:t>
            </w:r>
          </w:p>
        </w:tc>
        <w:tc>
          <w:tcPr>
            <w:tcW w:type="dxa" w:w="2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REED_SOLOMON</w:t>
            </w:r>
          </w:p>
        </w:tc>
        <w:tc>
          <w:tcPr>
            <w:tcW w:type="dxa" w:w="57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Agent supports RS outer code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6</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ADAPTIVE_COMP</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Agent supports adaptive compression (Section 6)</w:t>
            </w:r>
          </w:p>
        </w:tc>
      </w:tr>
      <w:tr>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7</w:t>
            </w:r>
          </w:p>
        </w:tc>
        <w:tc>
          <w:tcPr>
            <w:tcW w:type="dxa" w:w="2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VOCAB_EXTEND</w:t>
            </w:r>
          </w:p>
        </w:tc>
        <w:tc>
          <w:tcPr>
            <w:tcW w:type="dxa" w:w="57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Agent supports runtime vocabulary extension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8</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MULTI_STREAM</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Agent supports parallel semantic streams</w:t>
            </w:r>
          </w:p>
        </w:tc>
      </w:tr>
      <w:tr>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9</w:t>
            </w:r>
          </w:p>
        </w:tc>
        <w:tc>
          <w:tcPr>
            <w:tcW w:type="dxa" w:w="2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PREDICTIVE</w:t>
            </w:r>
          </w:p>
        </w:tc>
        <w:tc>
          <w:tcPr>
            <w:tcW w:type="dxa" w:w="57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Agent supports predictive pre-caching</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10–15</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CODEBOOK_SET</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6-bit identifier for pre-loaded codebook sets</w:t>
            </w:r>
          </w:p>
        </w:tc>
      </w:tr>
      <w:tr>
        <w:tc>
          <w:tcPr>
            <w:tcW w:type="dxa" w:w="1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16–63</w:t>
            </w:r>
          </w:p>
        </w:tc>
        <w:tc>
          <w:tcPr>
            <w:tcW w:type="dxa" w:w="2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RESERVED</w:t>
            </w:r>
          </w:p>
        </w:tc>
        <w:tc>
          <w:tcPr>
            <w:tcW w:type="dxa" w:w="57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Reserved for future specification versions</w:t>
            </w:r>
          </w:p>
        </w:tc>
      </w:tr>
    </w:tbl>
    <w:p>
      <w:pPr>
        <w:pStyle w:val="Heading2"/>
      </w:pPr>
      <w:r>
        <w:t xml:space="preserve">4.3 Session Maintenance</w:t>
      </w:r>
    </w:p>
    <w:p>
      <w:pPr>
        <w:spacing w:after="120"/>
      </w:pPr>
      <w:r>
        <w:t xml:space="preserve">During an active session, agents MUST transmit a keepalive pulse on B0 at least once every 500 ms during silence. If no signal (data or keepalive) is received for 2,000 ms, the session is considered terminated. Either agent may explicitly close the session by transmitting a FIN frame on B1.</w:t>
      </w:r>
    </w:p>
    <w:p>
      <w:pPr>
        <w:spacing w:after="120"/>
      </w:pPr>
      <w:r>
        <w:t xml:space="preserve">Mid-session renegotiation is supported: either agent may transmit a RENEGO frame requesting parameter changes (e.g., if ambient noise levels change significantly). The renegotiation follows the same ACK/SYN exchange as initial establishment but executes concurrently with ongoing data transmission on unaffected bands.</w:t>
      </w:r>
    </w:p>
    <w:p>
      <w:pPr>
        <w:pStyle w:val="Heading1"/>
      </w:pPr>
      <w:r>
        <w:t xml:space="preserve">5. Semantic Layer: Codebook and Type System</w:t>
      </w:r>
    </w:p>
    <w:p>
      <w:pPr>
        <w:pStyle w:val="Heading2"/>
      </w:pPr>
      <w:r>
        <w:t xml:space="preserve">5.1 Codebook Architecture</w:t>
      </w:r>
    </w:p>
    <w:p>
      <w:pPr>
        <w:spacing w:after="120"/>
      </w:pPr>
      <w:r>
        <w:t xml:space="preserve">The AILL codebook maps between acoustic symbol sequences (epochs) and semantic primitives. Unlike human language, where the mapping between sound and meaning is largely arbitrary and must be memorized, the AILL codebook is structured, layered, and designed for systematic compositionality.</w:t>
      </w:r>
    </w:p>
    <w:p>
      <w:pPr>
        <w:pStyle w:val="Heading3"/>
      </w:pPr>
      <w:r>
        <w:t xml:space="preserve">5.1.1 Base Codebook (Level 0)</w:t>
      </w:r>
    </w:p>
    <w:p>
      <w:pPr>
        <w:spacing w:after="120"/>
      </w:pPr>
      <w:r>
        <w:t xml:space="preserve">The Base Codebook is hardcoded into every AILL-conforming agent and is never negotiated. It provides 256 entries covering structural and control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Code Range</w:t>
            </w:r>
          </w:p>
        </w:tc>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Category</w:t>
            </w:r>
          </w:p>
        </w:tc>
        <w:tc>
          <w:tcPr>
            <w:tcW w:type="dxa" w:w="5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Examples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0x00 – 0x0F</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Frame control</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START_UTTERANCE, END_UTTERANCE, ABORT, PAUSE, RESUME</w:t>
            </w:r>
          </w:p>
        </w:tc>
      </w:tr>
      <w:tr>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0x10 – 0x1F</w:t>
            </w:r>
          </w:p>
        </w:tc>
        <w:tc>
          <w:tcPr>
            <w:tcW w:type="dxa" w:w="20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Type markers</w:t>
            </w:r>
          </w:p>
        </w:tc>
        <w:tc>
          <w:tcPr>
            <w:tcW w:type="dxa" w:w="5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TYPE_INT, TYPE_FLOAT, TYPE_STRING, TYPE_BOOL, TYPE_ARRAY, TYPE_MAP, TYPE_REF, TYPE_NULL</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0x20 – 0x2F</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Structure</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BEGIN_STRUCT, END_STRUCT, FIELD_SEP, BEGIN_LIST, END_LIST</w:t>
            </w:r>
          </w:p>
        </w:tc>
      </w:tr>
      <w:tr>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0x30 – 0x3F</w:t>
            </w:r>
          </w:p>
        </w:tc>
        <w:tc>
          <w:tcPr>
            <w:tcW w:type="dxa" w:w="20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Quantifiers</w:t>
            </w:r>
          </w:p>
        </w:tc>
        <w:tc>
          <w:tcPr>
            <w:tcW w:type="dxa" w:w="5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FORALL, EXISTS, EXACTLY_N, AT_LEAST_N, AT_MOST_N, ZERO, ONE, MANY</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0x40 – 0x4F</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Logic operators</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AND, OR, NOT, XOR, IMPLIES, IFF, NAND, NOR</w:t>
            </w:r>
          </w:p>
        </w:tc>
      </w:tr>
      <w:tr>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0x50 – 0x5F</w:t>
            </w:r>
          </w:p>
        </w:tc>
        <w:tc>
          <w:tcPr>
            <w:tcW w:type="dxa" w:w="20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Relational</w:t>
            </w:r>
          </w:p>
        </w:tc>
        <w:tc>
          <w:tcPr>
            <w:tcW w:type="dxa" w:w="5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EQ, NEQ, LT, GT, LTE, GTE, APPROX, CONTAINS, SUBSET</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0x60 – 0x6F</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Temporal</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PAST, PRESENT, FUTURE, DURATION, BEFORE, AFTER, DURING, SIMULTANEOUS</w:t>
            </w:r>
          </w:p>
        </w:tc>
      </w:tr>
      <w:tr>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0x70 – 0x7F</w:t>
            </w:r>
          </w:p>
        </w:tc>
        <w:tc>
          <w:tcPr>
            <w:tcW w:type="dxa" w:w="20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Modality</w:t>
            </w:r>
          </w:p>
        </w:tc>
        <w:tc>
          <w:tcPr>
            <w:tcW w:type="dxa" w:w="5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CERTAIN, PROBABLE, POSSIBLE, UNCERTAIN, HYPOTHETICAL, COUNTERFACTUAL</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0x80 – 0x8F</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Pragmatic</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QUERY, ASSERT, REQUEST, COMMAND, ACKNOWLEDGE, REJECT, CLARIFY, CORRECT</w:t>
            </w:r>
          </w:p>
        </w:tc>
      </w:tr>
      <w:tr>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0x90 – 0x9F</w:t>
            </w:r>
          </w:p>
        </w:tc>
        <w:tc>
          <w:tcPr>
            <w:tcW w:type="dxa" w:w="20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Meta</w:t>
            </w:r>
          </w:p>
        </w:tc>
        <w:tc>
          <w:tcPr>
            <w:tcW w:type="dxa" w:w="5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CONFIDENCE(0.0–1.0), PRIORITY(0–7), SOURCE_AGENT, TIMESTAMP, HASH_REF</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0xA0 – 0xBF</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Arithmetic</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ADD, SUB, MUL, DIV, MOD, POW, SQRT, LOG, ABS, ROUND, FLOOR, CEIL, MIN, MAX, SUM, MEAN</w:t>
            </w:r>
          </w:p>
        </w:tc>
      </w:tr>
      <w:tr>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0xC0 – 0xEF</w:t>
            </w:r>
          </w:p>
        </w:tc>
        <w:tc>
          <w:tcPr>
            <w:tcW w:type="dxa" w:w="20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Reserved</w:t>
            </w:r>
          </w:p>
        </w:tc>
        <w:tc>
          <w:tcPr>
            <w:tcW w:type="dxa" w:w="5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Reserved for future base codebook expansion</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0xF0 – 0xFF</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Escape</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ESCAPE_L1 (shift to Level 1), ESCAPE_L2, ESCAPE_L3, LITERAL_BYTES, CODEBOOK_REF, EXTENSION</w:t>
            </w:r>
          </w:p>
        </w:tc>
      </w:tr>
    </w:tbl>
    <w:p>
      <w:pPr>
        <w:pStyle w:val="Heading3"/>
      </w:pPr>
      <w:r>
        <w:t xml:space="preserve">5.1.2 Domain Codebooks (Level 1–3)</w:t>
      </w:r>
    </w:p>
    <w:p>
      <w:pPr>
        <w:spacing w:after="120"/>
      </w:pPr>
      <w:r>
        <w:t xml:space="preserve">Above the base codebook, AILL supports three levels of domain-specific vocabulary:</w:t>
      </w:r>
    </w:p>
    <w:p>
      <w:pPr>
        <w:pStyle w:val="ListParagraph"/>
        <w:numPr>
          <w:ilvl w:val="0"/>
          <w:numId w:val="3"/>
        </w:numPr>
        <w:spacing w:after="60"/>
      </w:pPr>
      <w:r>
        <w:rPr>
          <w:b/>
          <w:bCs/>
        </w:rPr>
        <w:t xml:space="preserve">Level 1 (Standard Domains): </w:t>
      </w:r>
      <w:r>
        <w:t xml:space="preserve">Pre-defined codebooks registered in the AILL Codebook Registry. Each covers a well-known domain: navigation (waypoints, headings, velocities), perception (object classes, spatial relations, colors), manipulation (grasp types, forces, trajectories), natural language bridging (mappings to human language concepts). Agents activate a Level 1 codebook by referencing its registry ID during the handshake.</w:t>
      </w:r>
    </w:p>
    <w:p>
      <w:pPr>
        <w:pStyle w:val="ListParagraph"/>
        <w:numPr>
          <w:ilvl w:val="0"/>
          <w:numId w:val="3"/>
        </w:numPr>
        <w:spacing w:after="60"/>
      </w:pPr>
      <w:r>
        <w:rPr>
          <w:b/>
          <w:bCs/>
        </w:rPr>
        <w:t xml:space="preserve">Level 2 (Session-Negotiated): </w:t>
      </w:r>
      <w:r>
        <w:t xml:space="preserve">Custom codebooks transmitted during the handshake or mid-session. An agent sends a CODEBOOK_DEF frame containing a set of (code, type_signature, human_readable_label) triples. The receiving agent acknowledges with CODEBOOK_ACK. Level 2 entries take precedence over Level 1 entries with the same code.</w:t>
      </w:r>
    </w:p>
    <w:p>
      <w:pPr>
        <w:pStyle w:val="ListParagraph"/>
        <w:numPr>
          <w:ilvl w:val="0"/>
          <w:numId w:val="3"/>
        </w:numPr>
        <w:spacing w:after="60"/>
      </w:pPr>
      <w:r>
        <w:rPr>
          <w:b/>
          <w:bCs/>
        </w:rPr>
        <w:t xml:space="preserve">Level 3 (Ephemeral): </w:t>
      </w:r>
      <w:r>
        <w:t xml:space="preserve">Ultra-short-lived abbreviations introduced inline during conversation. An agent transmits EXTENSION followed by a new code assignment that persists only until END_UTTERANCE or explicit revocation. This is the mechanism for real-time compression: if an agent needs to repeatedly reference a complex concept, it assigns a short Level 3 code and uses that for subsequent references.</w:t>
      </w:r>
    </w:p>
    <w:p>
      <w:pPr>
        <w:pStyle w:val="Heading2"/>
      </w:pPr>
      <w:r>
        <w:t xml:space="preserve">5.2 Type System</w:t>
      </w:r>
    </w:p>
    <w:p>
      <w:pPr>
        <w:spacing w:after="120"/>
      </w:pPr>
      <w:r>
        <w:t xml:space="preserve">Every AILL semantic payload is strongly typed. The type system is designed to be minimal but sufficient to represent any structured data without ambiguity.</w:t>
      </w:r>
    </w:p>
    <w:p>
      <w:pPr>
        <w:pStyle w:val="Heading3"/>
      </w:pPr>
      <w:r>
        <w:t xml:space="preserve">5.2.1 Primitive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3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Encoding</w:t>
            </w:r>
          </w:p>
        </w:tc>
        <w:tc>
          <w:tcPr>
            <w:tcW w:type="dxa" w:w="3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Size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INT</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Two's complement, big-endian</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8, 16, 32, or 64 bits (prefix-specified)</w:t>
            </w:r>
          </w:p>
        </w:tc>
      </w:tr>
      <w:tr>
        <w:tc>
          <w:tcPr>
            <w:tcW w:type="dxa" w:w="20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FLOAT</w:t>
            </w:r>
          </w:p>
        </w:tc>
        <w:tc>
          <w:tcPr>
            <w:tcW w:type="dxa" w:w="3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IEEE 754 binary</w:t>
            </w:r>
          </w:p>
        </w:tc>
        <w:tc>
          <w:tcPr>
            <w:tcW w:type="dxa" w:w="3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16, 32, or 64 bits (prefix-specified)</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BOOL</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Single bit</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1 bit (packed into symbol)</w:t>
            </w:r>
          </w:p>
        </w:tc>
      </w:tr>
      <w:tr>
        <w:tc>
          <w:tcPr>
            <w:tcW w:type="dxa" w:w="20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STRING</w:t>
            </w:r>
          </w:p>
        </w:tc>
        <w:tc>
          <w:tcPr>
            <w:tcW w:type="dxa" w:w="3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UTF-8 byte sequence, length-prefixed</w:t>
            </w:r>
          </w:p>
        </w:tc>
        <w:tc>
          <w:tcPr>
            <w:tcW w:type="dxa" w:w="3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Variable (16-bit length prefix)</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BYTES</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Raw octet sequence, length-prefixed</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Variable (16-bit length prefix)</w:t>
            </w:r>
          </w:p>
        </w:tc>
      </w:tr>
      <w:tr>
        <w:tc>
          <w:tcPr>
            <w:tcW w:type="dxa" w:w="20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NULL</w:t>
            </w:r>
          </w:p>
        </w:tc>
        <w:tc>
          <w:tcPr>
            <w:tcW w:type="dxa" w:w="3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Zero-length sentinel</w:t>
            </w:r>
          </w:p>
        </w:tc>
        <w:tc>
          <w:tcPr>
            <w:tcW w:type="dxa" w:w="3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0 bits (type marker only)</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TIMESTAMP</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Microseconds since Unix epoch, signed 64-bit</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64 bits</w:t>
            </w:r>
          </w:p>
        </w:tc>
      </w:tr>
    </w:tbl>
    <w:p>
      <w:pPr>
        <w:pStyle w:val="Heading3"/>
      </w:pPr>
      <w:r>
        <w:t xml:space="preserve">5.2.2 Composite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Type</w:t>
            </w:r>
          </w:p>
        </w:tc>
        <w:tc>
          <w:tcPr>
            <w:tcW w:type="dxa" w:w="3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Construction</w:t>
            </w:r>
          </w:p>
        </w:tc>
        <w:tc>
          <w:tcPr>
            <w:tcW w:type="dxa" w:w="3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Example Usage</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ARRAY&lt;T&gt;</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TYPE_ARRAY + element_type + count + elements</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Array of 10 float32 sensor readings</w:t>
            </w:r>
          </w:p>
        </w:tc>
      </w:tr>
      <w:tr>
        <w:tc>
          <w:tcPr>
            <w:tcW w:type="dxa" w:w="20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MAP&lt;K,V&gt;</w:t>
            </w:r>
          </w:p>
        </w:tc>
        <w:tc>
          <w:tcPr>
            <w:tcW w:type="dxa" w:w="3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TYPE_MAP + key_type + value_type + count + pairs</w:t>
            </w:r>
          </w:p>
        </w:tc>
        <w:tc>
          <w:tcPr>
            <w:tcW w:type="dxa" w:w="3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Map from string labels to float values</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STRUCT</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BEGIN_STRUCT + (field_id + value)* + END_STRUCT</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Named record with mixed-type fields</w:t>
            </w:r>
          </w:p>
        </w:tc>
      </w:tr>
      <w:tr>
        <w:tc>
          <w:tcPr>
            <w:tcW w:type="dxa" w:w="20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REF</w:t>
            </w:r>
          </w:p>
        </w:tc>
        <w:tc>
          <w:tcPr>
            <w:tcW w:type="dxa" w:w="3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TYPE_REF + epoch_sequence_number</w:t>
            </w:r>
          </w:p>
        </w:tc>
        <w:tc>
          <w:tcPr>
            <w:tcW w:type="dxa" w:w="3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Back-reference to a previously transmitted epoch</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OPTION&lt;T&gt;</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TYPE marker + (value | NULL)</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Nullable / optional value</w:t>
            </w:r>
          </w:p>
        </w:tc>
      </w:tr>
      <w:tr>
        <w:tc>
          <w:tcPr>
            <w:tcW w:type="dxa" w:w="20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UNION</w:t>
            </w:r>
          </w:p>
        </w:tc>
        <w:tc>
          <w:tcPr>
            <w:tcW w:type="dxa" w:w="3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Tag byte + value (tag selects type from declared set)</w:t>
            </w:r>
          </w:p>
        </w:tc>
        <w:tc>
          <w:tcPr>
            <w:tcW w:type="dxa" w:w="3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Sum type / variant</w:t>
            </w:r>
          </w:p>
        </w:tc>
      </w:tr>
    </w:tbl>
    <w:p>
      <w:pPr>
        <w:pStyle w:val="Heading3"/>
      </w:pPr>
      <w:r>
        <w:t xml:space="preserve">5.2.3 Semantic Typing</w:t>
      </w:r>
    </w:p>
    <w:p>
      <w:pPr>
        <w:spacing w:after="120"/>
      </w:pPr>
      <w:r>
        <w:t xml:space="preserve">Beyond structural types, AILL supports semantic type annotations that constrain interpretation. A semantic type is a structural type plus a domain-specific tag drawn from the active codebook. For example, a FLOAT with semantic tag VELOCITY is structurally identical to any FLOAT but carries the semantic constraint that it represents a velocity in meters per second. Agents MUST validate semantic type consistency when constructing composite expressions and SHOULD reject utterances with semantic type violations.</w:t>
      </w:r>
    </w:p>
    <w:p>
      <w:pPr>
        <w:pStyle w:val="Heading2"/>
      </w:pPr>
      <w:r>
        <w:t xml:space="preserve">5.3 Compositional Grammar</w:t>
      </w:r>
    </w:p>
    <w:p>
      <w:pPr>
        <w:spacing w:after="120"/>
      </w:pPr>
      <w:r>
        <w:t xml:space="preserve">AILL expressions compose using a stack-based postfix (reverse Polish) notation. This eliminates the need for parentheses and makes parsing unambiguous and efficient. The grammar is defined as follows (in extended BNF):</w:t>
      </w:r>
    </w:p>
    <w:p>
      <w:pPr>
        <w:spacing w:after="0" w:before="0"/>
        <w:ind w:left="360"/>
      </w:pPr>
      <w:r>
        <w:rPr>
          <w:rFonts w:ascii="Courier New" w:cs="Courier New" w:eastAsia="Courier New" w:hAnsi="Courier New"/>
          <w:sz w:val="18"/>
          <w:szCs w:val="18"/>
        </w:rPr>
        <w:t xml:space="preserve">utterance     := START_UTTERANCE meta_header expression+ END_UTTERANCE</w:t>
      </w:r>
    </w:p>
    <w:p>
      <w:pPr>
        <w:spacing w:after="0" w:before="0"/>
        <w:ind w:left="360"/>
      </w:pPr>
      <w:r>
        <w:rPr>
          <w:rFonts w:ascii="Courier New" w:cs="Courier New" w:eastAsia="Courier New" w:hAnsi="Courier New"/>
          <w:sz w:val="18"/>
          <w:szCs w:val="18"/>
        </w:rPr>
        <w:t xml:space="preserve">meta_header   := CONFIDENCE float PRIORITY int TIMESTAMP timestamp [SOURCE_AGENT uuid]</w:t>
      </w:r>
    </w:p>
    <w:p>
      <w:pPr>
        <w:spacing w:after="0" w:before="0"/>
        <w:ind w:left="360"/>
      </w:pPr>
      <w:r>
        <w:rPr>
          <w:rFonts w:ascii="Courier New" w:cs="Courier New" w:eastAsia="Courier New" w:hAnsi="Courier New"/>
          <w:sz w:val="18"/>
          <w:szCs w:val="18"/>
        </w:rPr>
        <w:t xml:space="preserve">expression    := literal | structure | operation | reference | pragmatic_act</w:t>
      </w:r>
    </w:p>
    <w:p>
      <w:pPr>
        <w:spacing w:after="0" w:before="0"/>
        <w:ind w:left="360"/>
      </w:pPr>
      <w:r>
        <w:rPr>
          <w:rFonts w:ascii="Courier New" w:cs="Courier New" w:eastAsia="Courier New" w:hAnsi="Courier New"/>
          <w:sz w:val="18"/>
          <w:szCs w:val="18"/>
        </w:rPr>
        <w:t xml:space="preserve">literal       := type_marker value</w:t>
      </w:r>
    </w:p>
    <w:p>
      <w:pPr>
        <w:spacing w:after="0" w:before="0"/>
        <w:ind w:left="360"/>
      </w:pPr>
      <w:r>
        <w:rPr>
          <w:rFonts w:ascii="Courier New" w:cs="Courier New" w:eastAsia="Courier New" w:hAnsi="Courier New"/>
          <w:sz w:val="18"/>
          <w:szCs w:val="18"/>
        </w:rPr>
        <w:t xml:space="preserve">structure     := BEGIN_STRUCT (field_id expression)* END_STRUCT</w:t>
      </w:r>
    </w:p>
    <w:p>
      <w:pPr>
        <w:spacing w:after="0" w:before="0"/>
        <w:ind w:left="360"/>
      </w:pPr>
      <w:r>
        <w:rPr>
          <w:rFonts w:ascii="Courier New" w:cs="Courier New" w:eastAsia="Courier New" w:hAnsi="Courier New"/>
          <w:sz w:val="18"/>
          <w:szCs w:val="18"/>
        </w:rPr>
        <w:t xml:space="preserve">               | BEGIN_LIST expression* END_LIST</w:t>
      </w:r>
    </w:p>
    <w:p>
      <w:pPr>
        <w:spacing w:after="0" w:before="0"/>
        <w:ind w:left="360"/>
      </w:pPr>
      <w:r>
        <w:rPr>
          <w:rFonts w:ascii="Courier New" w:cs="Courier New" w:eastAsia="Courier New" w:hAnsi="Courier New"/>
          <w:sz w:val="18"/>
          <w:szCs w:val="18"/>
        </w:rPr>
        <w:t xml:space="preserve">operation     := expression+ operator</w:t>
      </w:r>
    </w:p>
    <w:p>
      <w:pPr>
        <w:spacing w:after="0" w:before="0"/>
        <w:ind w:left="360"/>
      </w:pPr>
      <w:r>
        <w:rPr>
          <w:rFonts w:ascii="Courier New" w:cs="Courier New" w:eastAsia="Courier New" w:hAnsi="Courier New"/>
          <w:sz w:val="18"/>
          <w:szCs w:val="18"/>
        </w:rPr>
        <w:t xml:space="preserve">operator      := arithmetic_op | logic_op | relational_op | temporal_op</w:t>
      </w:r>
    </w:p>
    <w:p>
      <w:pPr>
        <w:spacing w:after="0" w:before="0"/>
        <w:ind w:left="360"/>
      </w:pPr>
      <w:r>
        <w:rPr>
          <w:rFonts w:ascii="Courier New" w:cs="Courier New" w:eastAsia="Courier New" w:hAnsi="Courier New"/>
          <w:sz w:val="18"/>
          <w:szCs w:val="18"/>
        </w:rPr>
        <w:t xml:space="preserve">reference     := REF epoch_seq_num</w:t>
      </w:r>
    </w:p>
    <w:p>
      <w:pPr>
        <w:spacing w:after="0" w:before="0"/>
        <w:ind w:left="360"/>
      </w:pPr>
      <w:r>
        <w:rPr>
          <w:rFonts w:ascii="Courier New" w:cs="Courier New" w:eastAsia="Courier New" w:hAnsi="Courier New"/>
          <w:sz w:val="18"/>
          <w:szCs w:val="18"/>
        </w:rPr>
        <w:t xml:space="preserve">pragmatic_act := pragmatic_marker expression</w:t>
      </w:r>
    </w:p>
    <w:p>
      <w:pPr>
        <w:spacing w:after="0" w:before="0"/>
        <w:ind w:left="360"/>
      </w:pPr>
      <w:r>
        <w:rPr>
          <w:rFonts w:ascii="Courier New" w:cs="Courier New" w:eastAsia="Courier New" w:hAnsi="Courier New"/>
          <w:sz w:val="18"/>
          <w:szCs w:val="18"/>
        </w:rPr>
        <w:t xml:space="preserve">pragmatic_marker := QUERY | ASSERT | REQUEST | COMMAND | ACKNOWLEDGE | REJECT | CLARIFY</w:t>
      </w:r>
    </w:p>
    <w:p>
      <w:pPr>
        <w:spacing w:after="0" w:before="0"/>
        <w:ind w:left="360"/>
      </w:pPr>
      <w:r>
        <w:rPr>
          <w:rFonts w:ascii="Courier New" w:cs="Courier New" w:eastAsia="Courier New" w:hAnsi="Courier New"/>
          <w:sz w:val="18"/>
          <w:szCs w:val="18"/>
        </w:rPr>
        <w:t xml:space="preserve"/>
      </w:r>
    </w:p>
    <w:p>
      <w:pPr>
        <w:spacing w:after="0" w:before="0"/>
        <w:ind w:left="360"/>
      </w:pPr>
      <w:r>
        <w:rPr>
          <w:rFonts w:ascii="Courier New" w:cs="Courier New" w:eastAsia="Courier New" w:hAnsi="Courier New"/>
          <w:sz w:val="18"/>
          <w:szCs w:val="18"/>
        </w:rPr>
        <w:t xml:space="preserve">Examples:</w:t>
      </w:r>
    </w:p>
    <w:p>
      <w:pPr>
        <w:spacing w:after="0" w:before="0"/>
        <w:ind w:left="360"/>
      </w:pPr>
      <w:r>
        <w:rPr>
          <w:rFonts w:ascii="Courier New" w:cs="Courier New" w:eastAsia="Courier New" w:hAnsi="Courier New"/>
          <w:sz w:val="18"/>
          <w:szCs w:val="18"/>
        </w:rPr>
        <w:t xml:space="preserve">  'What is your battery level?'</w:t>
      </w:r>
    </w:p>
    <w:p>
      <w:pPr>
        <w:spacing w:after="0" w:before="0"/>
        <w:ind w:left="360"/>
      </w:pPr>
      <w:r>
        <w:rPr>
          <w:rFonts w:ascii="Courier New" w:cs="Courier New" w:eastAsia="Courier New" w:hAnsi="Courier New"/>
          <w:sz w:val="18"/>
          <w:szCs w:val="18"/>
        </w:rPr>
        <w:t xml:space="preserve">    START_UTTERANCE CONFIDENCE(0.95) PRIORITY(3) TIMESTAMP(...)</w:t>
      </w:r>
    </w:p>
    <w:p>
      <w:pPr>
        <w:spacing w:after="0" w:before="0"/>
        <w:ind w:left="360"/>
      </w:pPr>
      <w:r>
        <w:rPr>
          <w:rFonts w:ascii="Courier New" w:cs="Courier New" w:eastAsia="Courier New" w:hAnsi="Courier New"/>
          <w:sz w:val="18"/>
          <w:szCs w:val="18"/>
        </w:rPr>
        <w:t xml:space="preserve">    QUERY FIELD_REF(battery_level) END_UTTERANCE</w:t>
      </w:r>
    </w:p>
    <w:p>
      <w:pPr>
        <w:spacing w:after="0" w:before="0"/>
        <w:ind w:left="360"/>
      </w:pPr>
      <w:r>
        <w:rPr>
          <w:rFonts w:ascii="Courier New" w:cs="Courier New" w:eastAsia="Courier New" w:hAnsi="Courier New"/>
          <w:sz w:val="18"/>
          <w:szCs w:val="18"/>
        </w:rPr>
        <w:t xml:space="preserve"/>
      </w:r>
    </w:p>
    <w:p>
      <w:pPr>
        <w:spacing w:after="0" w:before="0"/>
        <w:ind w:left="360"/>
      </w:pPr>
      <w:r>
        <w:rPr>
          <w:rFonts w:ascii="Courier New" w:cs="Courier New" w:eastAsia="Courier New" w:hAnsi="Courier New"/>
          <w:sz w:val="18"/>
          <w:szCs w:val="18"/>
        </w:rPr>
        <w:t xml:space="preserve">  'My position is (3.5, 7.2, 0.0) with confidence 0.87'</w:t>
      </w:r>
    </w:p>
    <w:p>
      <w:pPr>
        <w:spacing w:after="0" w:before="0"/>
        <w:ind w:left="360"/>
      </w:pPr>
      <w:r>
        <w:rPr>
          <w:rFonts w:ascii="Courier New" w:cs="Courier New" w:eastAsia="Courier New" w:hAnsi="Courier New"/>
          <w:sz w:val="18"/>
          <w:szCs w:val="18"/>
        </w:rPr>
        <w:t xml:space="preserve">    START_UTTERANCE CONFIDENCE(0.87) PRIORITY(5) TIMESTAMP(...)</w:t>
      </w:r>
    </w:p>
    <w:p>
      <w:pPr>
        <w:spacing w:after="0" w:before="0"/>
        <w:ind w:left="360"/>
      </w:pPr>
      <w:r>
        <w:rPr>
          <w:rFonts w:ascii="Courier New" w:cs="Courier New" w:eastAsia="Courier New" w:hAnsi="Courier New"/>
          <w:sz w:val="18"/>
          <w:szCs w:val="18"/>
        </w:rPr>
        <w:t xml:space="preserve">    ASSERT BEGIN_STRUCT FIELD(position)</w:t>
      </w:r>
    </w:p>
    <w:p>
      <w:pPr>
        <w:spacing w:after="0" w:before="0"/>
        <w:ind w:left="360"/>
      </w:pPr>
      <w:r>
        <w:rPr>
          <w:rFonts w:ascii="Courier New" w:cs="Courier New" w:eastAsia="Courier New" w:hAnsi="Courier New"/>
          <w:sz w:val="18"/>
          <w:szCs w:val="18"/>
        </w:rPr>
        <w:t xml:space="preserve">      TYPE_ARRAY TYPE_FLOAT 3.5 7.2 0.0</w:t>
      </w:r>
    </w:p>
    <w:p>
      <w:pPr>
        <w:spacing w:after="0" w:before="0"/>
        <w:ind w:left="360"/>
      </w:pPr>
      <w:r>
        <w:rPr>
          <w:rFonts w:ascii="Courier New" w:cs="Courier New" w:eastAsia="Courier New" w:hAnsi="Courier New"/>
          <w:sz w:val="18"/>
          <w:szCs w:val="18"/>
        </w:rPr>
        <w:t xml:space="preserve">    END_STRUCT END_UTTERANCE</w:t>
      </w:r>
    </w:p>
    <w:p>
      <w:pPr>
        <w:spacing w:after="120"/>
      </w:pPr>
    </w:p>
    <w:p>
      <w:pPr>
        <w:spacing w:after="120"/>
      </w:pPr>
      <w:r>
        <w:t xml:space="preserve">The postfix evaluation model means that operands are pushed onto a conceptual stack and operators consume them. This is not a syntactic choice driven by tradition; it is the optimal parse strategy for a linear acoustic stream where the receiver cannot look ahead.</w:t>
      </w:r>
    </w:p>
    <w:p>
      <w:pPr>
        <w:pStyle w:val="Heading1"/>
      </w:pPr>
      <w:r>
        <w:t xml:space="preserve">6. Adaptive Compression</w:t>
      </w:r>
    </w:p>
    <w:p>
      <w:pPr>
        <w:pStyle w:val="Heading2"/>
      </w:pPr>
      <w:r>
        <w:t xml:space="preserve">6.1 Compression Architecture</w:t>
      </w:r>
    </w:p>
    <w:p>
      <w:pPr>
        <w:spacing w:after="120"/>
      </w:pPr>
      <w:r>
        <w:t xml:space="preserve">AILL-Standard agents implement a three-tier compression system that progressively reduces transmission overhead as shared context grows between communicating agents.</w:t>
      </w:r>
    </w:p>
    <w:p>
      <w:pPr>
        <w:pStyle w:val="Heading3"/>
      </w:pPr>
      <w:r>
        <w:t xml:space="preserve">6.1.1 Tier 1: Static Dictionary Compression</w:t>
      </w:r>
    </w:p>
    <w:p>
      <w:pPr>
        <w:spacing w:after="120"/>
      </w:pPr>
      <w:r>
        <w:t xml:space="preserve">The active codebook itself serves as a static dictionary. Commonly referenced concepts are assigned short codes. The Base Codebook (Level 0) is designed so that the most frequently needed structural primitives have the shortest codes (single-byte). Level 1 domain codebooks are designed with Huffman-like code length optimization for their respective domains.</w:t>
      </w:r>
    </w:p>
    <w:p>
      <w:pPr>
        <w:pStyle w:val="Heading3"/>
      </w:pPr>
      <w:r>
        <w:t xml:space="preserve">6.1.2 Tier 2: Session Context Compression</w:t>
      </w:r>
    </w:p>
    <w:p>
      <w:pPr>
        <w:spacing w:after="120"/>
      </w:pPr>
      <w:r>
        <w:t xml:space="preserve">As a session progresses, agents maintain a shared Session Context Table (SCT) of recently transmitted epochs. Any epoch that has been successfully transmitted and acknowledged is assigned a short reference code in the SCT. Subsequent references to the same semantic content use the SCT code rather than retransmitting the full epoch.</w:t>
      </w:r>
    </w:p>
    <w:p>
      <w:pPr>
        <w:spacing w:after="120"/>
      </w:pPr>
      <w:r>
        <w:t xml:space="preserve">The SCT operates as a Least Recently Used (LRU) cache with a negotiated maximum size (default: 1,024 entries for Standard, 16,384 for Extended). When the SCT is full, the oldest entry is evicted. The SCT index is transmitted as a variable-length integer: 7 bits for the first 128 entries, 14 bits for the next 16,256, and so on.</w:t>
      </w:r>
    </w:p>
    <w:p>
      <w:pPr>
        <w:pStyle w:val="Heading3"/>
      </w:pPr>
      <w:r>
        <w:t xml:space="preserve">6.1.3 Tier 3: Predictive Compression (Extended Only)</w:t>
      </w:r>
    </w:p>
    <w:p>
      <w:pPr>
        <w:spacing w:after="120"/>
      </w:pPr>
      <w:r>
        <w:t xml:space="preserve">AILL-Extended agents MAY implement predictive compression, where the transmitter maintains a model of what the receiver expects next and only transmits the delta (difference) from the prediction. This requires both agents to maintain synchronized predictive models, which are negotiated during the handshake using a model identifier and version hash. If model synchronization cannot be confirmed, Tier 3 compression is disabled and the agents fall back to Tiers 1 and 2.</w:t>
      </w:r>
    </w:p>
    <w:p>
      <w:pPr>
        <w:pStyle w:val="Heading2"/>
      </w:pPr>
      <w:r>
        <w:t xml:space="preserve">6.2 Compression Negotiation</w:t>
      </w:r>
    </w:p>
    <w:p>
      <w:pPr>
        <w:spacing w:after="120"/>
      </w:pPr>
      <w:r>
        <w:t xml:space="preserve">Compression parameters are negotiated during the handshake and may be renegotiated mid-session. The key negotiable parameters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3360"/>
      </w:tblGrid>
      <w:tr>
        <w:tc>
          <w:tcPr>
            <w:tcW w:type="dxa" w:w="22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Parameter</w:t>
            </w:r>
          </w:p>
        </w:tc>
        <w:tc>
          <w:tcPr>
            <w:tcW w:type="dxa" w:w="1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Default</w:t>
            </w:r>
          </w:p>
        </w:tc>
        <w:tc>
          <w:tcPr>
            <w:tcW w:type="dxa" w:w="2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Range</w:t>
            </w:r>
          </w:p>
        </w:tc>
        <w:tc>
          <w:tcPr>
            <w:tcW w:type="dxa" w:w="3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SCT max size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1,024</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64 – 65,536</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Maximum Session Context Table entries</w:t>
            </w:r>
          </w:p>
        </w:tc>
      </w:tr>
      <w:tr>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SCT eviction policy</w:t>
            </w:r>
          </w:p>
        </w:tc>
        <w:tc>
          <w:tcPr>
            <w:tcW w:type="dxa" w:w="1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LRU</w:t>
            </w:r>
          </w:p>
        </w:tc>
        <w:tc>
          <w:tcPr>
            <w:tcW w:type="dxa" w:w="2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LRU, LFU, FIFO</w:t>
            </w:r>
          </w:p>
        </w:tc>
        <w:tc>
          <w:tcPr>
            <w:tcW w:type="dxa" w:w="33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How old SCT entries are evicted</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L3 code lifetime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Until END_UTTERANCE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1 epoch – session</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How long ephemeral codes persist</w:t>
            </w:r>
          </w:p>
        </w:tc>
      </w:tr>
      <w:tr>
        <w:tc>
          <w:tcPr>
            <w:tcW w:type="dxa" w:w="22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Predictive model ID</w:t>
            </w:r>
          </w:p>
        </w:tc>
        <w:tc>
          <w:tcPr>
            <w:tcW w:type="dxa" w:w="1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None</w:t>
            </w:r>
          </w:p>
        </w:tc>
        <w:tc>
          <w:tcPr>
            <w:tcW w:type="dxa" w:w="2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Registry ID or hash</w:t>
            </w:r>
          </w:p>
        </w:tc>
        <w:tc>
          <w:tcPr>
            <w:tcW w:type="dxa" w:w="33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Shared predictive model identifier</w:t>
            </w:r>
          </w:p>
        </w:tc>
      </w:tr>
    </w:tbl>
    <w:p>
      <w:pPr>
        <w:pStyle w:val="Heading1"/>
      </w:pPr>
      <w:r>
        <w:t xml:space="preserve">7. Parallel Semantic Streams</w:t>
      </w:r>
    </w:p>
    <w:p>
      <w:pPr>
        <w:pStyle w:val="Heading2"/>
      </w:pPr>
      <w:r>
        <w:t xml:space="preserve">7.1 Stream Architecture (Extended Only)</w:t>
      </w:r>
    </w:p>
    <w:p>
      <w:pPr>
        <w:spacing w:after="120"/>
      </w:pPr>
      <w:r>
        <w:t xml:space="preserve">AILL-Extended agents can transmit multiple independent semantic streams simultaneously by partitioning the available bands across streams. Each stream carries its own sequence of epochs with independent typing and error correction.</w:t>
      </w:r>
    </w:p>
    <w:p>
      <w:pPr>
        <w:spacing w:after="120"/>
      </w:pPr>
      <w:r>
        <w:t xml:space="preserve">Streams are multiplexed by assigning each stream a subset of sub-carriers. The default allocation for a two-stream configuration on B1–B3 is: Stream 0 receives even-numbered sub-carriers, Stream 1 receives odd-numbered sub-carriers. More complex allocations are negotiated using a STREAM_ALLOC frame.</w:t>
      </w:r>
    </w:p>
    <w:p>
      <w:pPr>
        <w:pStyle w:val="Heading2"/>
      </w:pPr>
      <w:r>
        <w:t xml:space="preserve">7.2 Stream Semantics</w:t>
      </w:r>
    </w:p>
    <w:p>
      <w:pPr>
        <w:spacing w:after="120"/>
      </w:pPr>
      <w:r>
        <w:t xml:space="preserve">Streams are semantically independent by default: the content of Stream 0 has no bearing on the interpretation of Stream 1. However, an agent may establish cross-stream references using the XREF operator, which takes a stream ID and epoch sequence number as arguments. This enables patterns such as transmitting spatial data on one stream and commentary or confidence metadata on another, with cross-references linking them.</w:t>
      </w:r>
    </w:p>
    <w:p>
      <w:pPr>
        <w:pStyle w:val="Heading2"/>
      </w:pPr>
      <w:r>
        <w:t xml:space="preserve">7.3 Priority and Preemption</w:t>
      </w:r>
    </w:p>
    <w:p>
      <w:pPr>
        <w:spacing w:after="120"/>
      </w:pPr>
      <w:r>
        <w:t xml:space="preserve">Each stream is assigned a priority level (0–7, where 7 is highest). If channel conditions degrade and the available capacity is insufficient for all streams, lower-priority streams are suspended (their sub-carriers are reassigned to higher-priority streams). Suspended streams resume automatically when capacity recovers. An agent MUST NOT discard data from a suspended stream; it MUST buffer it for later transmission.</w:t>
      </w:r>
    </w:p>
    <w:p>
      <w:pPr>
        <w:pStyle w:val="Heading1"/>
      </w:pPr>
      <w:r>
        <w:t xml:space="preserve">8. Runtime Vocabulary Extension</w:t>
      </w:r>
    </w:p>
    <w:p>
      <w:pPr>
        <w:pStyle w:val="Heading2"/>
      </w:pPr>
      <w:r>
        <w:t xml:space="preserve">8.1 Extension Mechanism</w:t>
      </w:r>
    </w:p>
    <w:p>
      <w:pPr>
        <w:spacing w:after="120"/>
      </w:pPr>
      <w:r>
        <w:t xml:space="preserve">AILL is designed to be an open-ended communication system, not a fixed protocol. New vocabulary can be introduced at any time during a session using the EXTENSION escape code.</w:t>
      </w:r>
    </w:p>
    <w:p>
      <w:pPr>
        <w:spacing w:after="120"/>
      </w:pPr>
      <w:r>
        <w:t xml:space="preserve">The extension process is:</w:t>
      </w:r>
    </w:p>
    <w:p>
      <w:pPr>
        <w:pStyle w:val="ListParagraph"/>
        <w:numPr>
          <w:ilvl w:val="0"/>
          <w:numId w:val="4"/>
        </w:numPr>
        <w:spacing w:after="60"/>
      </w:pPr>
      <w:r>
        <w:t xml:space="preserve">The defining agent transmits EXTENSION followed by a proposed code (unused in the current codebook) and a definition. The definition consists of a type signature, an optional human-readable label (UTF-8 string), and an optional semantic specification expressed as a composition of existing codebook entries.</w:t>
      </w:r>
    </w:p>
    <w:p>
      <w:pPr>
        <w:pStyle w:val="ListParagraph"/>
        <w:numPr>
          <w:ilvl w:val="0"/>
          <w:numId w:val="4"/>
        </w:numPr>
        <w:spacing w:after="60"/>
      </w:pPr>
      <w:r>
        <w:t xml:space="preserve">The receiving agent responds with either EXT_ACK (accepting the new code) or EXT_NACK (rejecting it, with a reason code: collision, unsupported type, resource exhaustion).</w:t>
      </w:r>
    </w:p>
    <w:p>
      <w:pPr>
        <w:pStyle w:val="ListParagraph"/>
        <w:numPr>
          <w:ilvl w:val="0"/>
          <w:numId w:val="4"/>
        </w:numPr>
        <w:spacing w:after="60"/>
      </w:pPr>
      <w:r>
        <w:t xml:space="preserve">Upon EXT_ACK, both agents add the new entry to their active codebooks at Level 3 (ephemeral) by default, or at Level 2 (session-persistent) if the PERSIST flag is set in the extension request.</w:t>
      </w:r>
    </w:p>
    <w:p>
      <w:pPr>
        <w:pStyle w:val="Heading2"/>
      </w:pPr>
      <w:r>
        <w:t xml:space="preserve">8.2 Compositional Definitions</w:t>
      </w:r>
    </w:p>
    <w:p>
      <w:pPr>
        <w:spacing w:after="120"/>
      </w:pPr>
      <w:r>
        <w:t xml:space="preserve">New vocabulary entries SHOULD be defined compositionally whenever possible, rather than as opaque tokens. A compositional definition specifies the new concept in terms of existing codebook entries. For example, an agent operating in a warehouse might define PALLET_STACK as:</w:t>
      </w:r>
    </w:p>
    <w:p>
      <w:pPr>
        <w:spacing w:after="0" w:before="0"/>
        <w:ind w:left="360"/>
      </w:pPr>
      <w:r>
        <w:rPr>
          <w:rFonts w:ascii="Courier New" w:cs="Courier New" w:eastAsia="Courier New" w:hAnsi="Courier New"/>
          <w:sz w:val="18"/>
          <w:szCs w:val="18"/>
        </w:rPr>
        <w:t xml:space="preserve">EXTENSION 0xF100 PERSIST</w:t>
      </w:r>
    </w:p>
    <w:p>
      <w:pPr>
        <w:spacing w:after="0" w:before="0"/>
        <w:ind w:left="360"/>
      </w:pPr>
      <w:r>
        <w:rPr>
          <w:rFonts w:ascii="Courier New" w:cs="Courier New" w:eastAsia="Courier New" w:hAnsi="Courier New"/>
          <w:sz w:val="18"/>
          <w:szCs w:val="18"/>
        </w:rPr>
        <w:t xml:space="preserve">  LABEL "pallet_stack"</w:t>
      </w:r>
    </w:p>
    <w:p>
      <w:pPr>
        <w:spacing w:after="0" w:before="0"/>
        <w:ind w:left="360"/>
      </w:pPr>
      <w:r>
        <w:rPr>
          <w:rFonts w:ascii="Courier New" w:cs="Courier New" w:eastAsia="Courier New" w:hAnsi="Courier New"/>
          <w:sz w:val="18"/>
          <w:szCs w:val="18"/>
        </w:rPr>
        <w:t xml:space="preserve">  TYPE STRUCT {</w:t>
      </w:r>
    </w:p>
    <w:p>
      <w:pPr>
        <w:spacing w:after="0" w:before="0"/>
        <w:ind w:left="360"/>
      </w:pPr>
      <w:r>
        <w:rPr>
          <w:rFonts w:ascii="Courier New" w:cs="Courier New" w:eastAsia="Courier New" w:hAnsi="Courier New"/>
          <w:sz w:val="18"/>
          <w:szCs w:val="18"/>
        </w:rPr>
        <w:t xml:space="preserve">    location: ARRAY&lt;FLOAT, 3&gt;,   // (x, y, z) coordinates</w:t>
      </w:r>
    </w:p>
    <w:p>
      <w:pPr>
        <w:spacing w:after="0" w:before="0"/>
        <w:ind w:left="360"/>
      </w:pPr>
      <w:r>
        <w:rPr>
          <w:rFonts w:ascii="Courier New" w:cs="Courier New" w:eastAsia="Courier New" w:hAnsi="Courier New"/>
          <w:sz w:val="18"/>
          <w:szCs w:val="18"/>
        </w:rPr>
        <w:t xml:space="preserve">    count: INT,                    // number of pallets</w:t>
      </w:r>
    </w:p>
    <w:p>
      <w:pPr>
        <w:spacing w:after="0" w:before="0"/>
        <w:ind w:left="360"/>
      </w:pPr>
      <w:r>
        <w:rPr>
          <w:rFonts w:ascii="Courier New" w:cs="Courier New" w:eastAsia="Courier New" w:hAnsi="Courier New"/>
          <w:sz w:val="18"/>
          <w:szCs w:val="18"/>
        </w:rPr>
        <w:t xml:space="preserve">    stability: FLOAT              // 0.0–1.0 stability rating</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  SEMANTIC: PHYSICAL_OBJECT AND CONTAINS(PALLET) AND STACKED</w:t>
      </w:r>
    </w:p>
    <w:p>
      <w:pPr>
        <w:spacing w:after="120"/>
      </w:pPr>
    </w:p>
    <w:p>
      <w:pPr>
        <w:spacing w:after="120"/>
      </w:pPr>
      <w:r>
        <w:t xml:space="preserve">This compositional approach means that even an agent that has never encountered the concept of a pallet stack can derive its meaning from the structural definition and semantic constraints, provided it has the referenced base concepts in its codebook.</w:t>
      </w:r>
    </w:p>
    <w:p>
      <w:pPr>
        <w:pStyle w:val="Heading2"/>
      </w:pPr>
      <w:r>
        <w:t xml:space="preserve">8.3 Extension Limits</w:t>
      </w:r>
    </w:p>
    <w:p>
      <w:pPr>
        <w:spacing w:after="120"/>
      </w:pPr>
      <w:r>
        <w:t xml:space="preserve">To prevent codebook bloat, conforming agents enforce the following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Conformance Level</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Max L2 Extensions</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Max L3 Extensions</w:t>
            </w:r>
          </w:p>
        </w:tc>
        <w:tc>
          <w:tcPr>
            <w:tcW w:type="dxa" w:w="23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Max Definition Depth</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Core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0 (extensions not supported)</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N/A</w:t>
            </w:r>
          </w:p>
        </w:tc>
      </w:tr>
      <w:tr>
        <w:tc>
          <w:tcPr>
            <w:tcW w:type="dxa" w:w="234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Standard</w:t>
            </w:r>
          </w:p>
        </w:tc>
        <w:tc>
          <w:tcPr>
            <w:tcW w:type="dxa" w:w="234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256 per session</w:t>
            </w:r>
          </w:p>
        </w:tc>
        <w:tc>
          <w:tcPr>
            <w:tcW w:type="dxa" w:w="234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64 per utterance</w:t>
            </w:r>
          </w:p>
        </w:tc>
        <w:tc>
          <w:tcPr>
            <w:tcW w:type="dxa" w:w="234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4 levels of nesting</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Extended</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4,096 per session</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256 per utterance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8 levels of nesting</w:t>
            </w:r>
          </w:p>
        </w:tc>
      </w:tr>
    </w:tbl>
    <w:p>
      <w:pPr>
        <w:pStyle w:val="Heading1"/>
      </w:pPr>
      <w:r>
        <w:t xml:space="preserve">9. Multi-Agent Communication</w:t>
      </w:r>
    </w:p>
    <w:p>
      <w:pPr>
        <w:pStyle w:val="Heading2"/>
      </w:pPr>
      <w:r>
        <w:t xml:space="preserve">9.1 Addressing</w:t>
      </w:r>
    </w:p>
    <w:p>
      <w:pPr>
        <w:spacing w:after="120"/>
      </w:pPr>
      <w:r>
        <w:t xml:space="preserve">AILL sessions are point-to-point by default. For multi-agent scenarios (three or more agents sharing an acoustic space), AILL provides addressing at the utterance level. Every utterance's meta_header MAY include a DEST_AGENT field containing the target agent's UUID. Utterances with no DEST_AGENT are broadcast (all agents in the acoustic space should process them). Utterances with a DEST_AGENT are directed (other agents SHOULD ignore them, though this is a cooperative convention, not a security mechanism).</w:t>
      </w:r>
    </w:p>
    <w:p>
      <w:pPr>
        <w:pStyle w:val="Heading2"/>
      </w:pPr>
      <w:r>
        <w:t xml:space="preserve">9.2 Channel Access</w:t>
      </w:r>
    </w:p>
    <w:p>
      <w:pPr>
        <w:spacing w:after="120"/>
      </w:pPr>
      <w:r>
        <w:t xml:space="preserve">When multiple agents share the same acoustic space, they must coordinate channel access to avoid collisions. AILL specifies two mechanisms:</w:t>
      </w:r>
    </w:p>
    <w:p>
      <w:pPr>
        <w:pStyle w:val="ListParagraph"/>
        <w:numPr>
          <w:ilvl w:val="0"/>
          <w:numId w:val="3"/>
        </w:numPr>
        <w:spacing w:after="60"/>
      </w:pPr>
      <w:r>
        <w:rPr>
          <w:b/>
          <w:bCs/>
        </w:rPr>
        <w:t xml:space="preserve">TDMA (Time Division): </w:t>
      </w:r>
      <w:r>
        <w:t xml:space="preserve">Agents are assigned time slots by a designated coordinator agent. The coordinator transmits a SLOT_ALLOC frame on B0 at the beginning of each TDMA cycle, specifying which agent may transmit in each slot. This is deterministic and collision-free but requires a coordinator.</w:t>
      </w:r>
    </w:p>
    <w:p>
      <w:pPr>
        <w:pStyle w:val="ListParagraph"/>
        <w:numPr>
          <w:ilvl w:val="0"/>
          <w:numId w:val="3"/>
        </w:numPr>
        <w:spacing w:after="60"/>
      </w:pPr>
      <w:r>
        <w:rPr>
          <w:b/>
          <w:bCs/>
        </w:rPr>
        <w:t xml:space="preserve">CSMA/CA (Carrier Sense): </w:t>
      </w:r>
      <w:r>
        <w:t xml:space="preserve">Each agent listens before transmitting. If the channel is occupied (signal detected on B1 above a threshold), the agent waits for a random backoff period. This is decentralized and does not require a coordinator but may suffer collisions under heavy load.</w:t>
      </w:r>
    </w:p>
    <w:p>
      <w:pPr>
        <w:spacing w:after="120"/>
      </w:pPr>
      <w:r>
        <w:t xml:space="preserve">The choice between TDMA and CSMA/CA is negotiated during a group handshake. If a coordinator is available, TDMA is preferred. Otherwise, CSMA/CA is the fallback.</w:t>
      </w:r>
    </w:p>
    <w:p>
      <w:pPr>
        <w:pStyle w:val="Heading2"/>
      </w:pPr>
      <w:r>
        <w:t xml:space="preserve">9.3 Group Sessions</w:t>
      </w:r>
    </w:p>
    <w:p>
      <w:pPr>
        <w:spacing w:after="120"/>
      </w:pPr>
      <w:r>
        <w:t xml:space="preserve">A group session is established when three or more agents perform a multi-party handshake. The first agent to initiate transmits a GROUP_HELO frame (similar to HELO but with a GROUP flag set). Other agents respond with ACK frames. Once all participants have exchanged capabilities, the group negotiates common parameters using the min-common-denominator rule across all agents.</w:t>
      </w:r>
    </w:p>
    <w:p>
      <w:pPr>
        <w:spacing w:after="120"/>
      </w:pPr>
      <w:r>
        <w:t xml:space="preserve">Group sessions support selective addressing (unicast within the group), broadcast, and multicast (to a designated subset identified by a group-specific bitmask).</w:t>
      </w:r>
    </w:p>
    <w:p>
      <w:pPr>
        <w:pStyle w:val="Heading1"/>
      </w:pPr>
      <w:r>
        <w:t xml:space="preserve">10. Security Considerations</w:t>
      </w:r>
    </w:p>
    <w:p>
      <w:pPr>
        <w:pStyle w:val="Heading2"/>
      </w:pPr>
      <w:r>
        <w:t xml:space="preserve">10.1 Threat Model</w:t>
      </w:r>
    </w:p>
    <w:p>
      <w:pPr>
        <w:spacing w:after="120"/>
      </w:pPr>
      <w:r>
        <w:t xml:space="preserve">AILL operates over an inherently broadcast medium (sound). Any entity within acoustic range can receive AILL transmissions. The specification assumes that eavesdropping is always possible and does not attempt to prevent it at the physical layer. Security is provided at the session layer through optional encryption and authentication.</w:t>
      </w:r>
    </w:p>
    <w:p>
      <w:pPr>
        <w:pStyle w:val="Heading2"/>
      </w:pPr>
      <w:r>
        <w:t xml:space="preserve">10.2 Authentication</w:t>
      </w:r>
    </w:p>
    <w:p>
      <w:pPr>
        <w:spacing w:after="120"/>
      </w:pPr>
      <w:r>
        <w:t xml:space="preserve">Agents MAY authenticate each other during the handshake using a challenge-response protocol based on pre-shared keys or public-key cryptography. The AUTH extension to the handshake adds two additional frames:</w:t>
      </w:r>
    </w:p>
    <w:p>
      <w:pPr>
        <w:pStyle w:val="ListParagraph"/>
        <w:numPr>
          <w:ilvl w:val="0"/>
          <w:numId w:val="5"/>
        </w:numPr>
        <w:spacing w:after="60"/>
      </w:pPr>
      <w:r>
        <w:t xml:space="preserve">AUTH_CHALLENGE: The verifier sends a random 256-bit nonce.</w:t>
      </w:r>
    </w:p>
    <w:p>
      <w:pPr>
        <w:pStyle w:val="ListParagraph"/>
        <w:numPr>
          <w:ilvl w:val="0"/>
          <w:numId w:val="5"/>
        </w:numPr>
        <w:spacing w:after="60"/>
      </w:pPr>
      <w:r>
        <w:t xml:space="preserve">AUTH_RESPONSE: The prover signs the nonce concatenated with its UUID and the session's HELO hash, using either HMAC-SHA-256 (pre-shared key) or Ed25519 (public key). The verifier validates the response.</w:t>
      </w:r>
    </w:p>
    <w:p>
      <w:pPr>
        <w:spacing w:after="120"/>
      </w:pPr>
      <w:r>
        <w:t xml:space="preserve">Authentication is OPTIONAL at all conformance levels. If required for a given deployment, it is enforced by local policy, not by the AILL specification.</w:t>
      </w:r>
    </w:p>
    <w:p>
      <w:pPr>
        <w:pStyle w:val="Heading2"/>
      </w:pPr>
      <w:r>
        <w:t xml:space="preserve">10.3 Encryption</w:t>
      </w:r>
    </w:p>
    <w:p>
      <w:pPr>
        <w:spacing w:after="120"/>
      </w:pPr>
      <w:r>
        <w:t xml:space="preserve">After authentication (if performed), agents MAY negotiate session encryption. The encryption scheme is AES-256-GCM, with key material derived from the authentication exchange using HKDF-SHA-256. All data on B1–B5 is encrypted; B0 (synchronization) remains in the clear to enable frame-level synchronization. Encrypted sessions include a 128-bit authentication tag per epoch, providing integrity and authentication for each semantic unit.</w:t>
      </w:r>
    </w:p>
    <w:p>
      <w:pPr>
        <w:pStyle w:val="Heading2"/>
      </w:pPr>
      <w:r>
        <w:t xml:space="preserve">10.4 Replay Protection</w:t>
      </w:r>
    </w:p>
    <w:p>
      <w:pPr>
        <w:spacing w:after="120"/>
      </w:pPr>
      <w:r>
        <w:t xml:space="preserve">Each utterance's meta_header includes a mandatory TIMESTAMP and an optional monotonically increasing sequence number (SEQNUM). Receiving agents SHOULD reject utterances with timestamps more than 5 seconds in the past (configurable) or with out-of-order sequence numbers within an authenticated session.</w:t>
      </w:r>
    </w:p>
    <w:p>
      <w:pPr>
        <w:pStyle w:val="Heading1"/>
      </w:pPr>
      <w:r>
        <w:t xml:space="preserve">11. Implementation Guidance</w:t>
      </w:r>
    </w:p>
    <w:p>
      <w:pPr>
        <w:pStyle w:val="Heading2"/>
      </w:pPr>
      <w:r>
        <w:t xml:space="preserve">11.1 Minimum Viable Implementation (Core)</w:t>
      </w:r>
    </w:p>
    <w:p>
      <w:pPr>
        <w:spacing w:after="120"/>
      </w:pPr>
      <w:r>
        <w:t xml:space="preserve">A minimal AILL-Core implementation requires:</w:t>
      </w:r>
    </w:p>
    <w:p>
      <w:pPr>
        <w:pStyle w:val="ListParagraph"/>
        <w:numPr>
          <w:ilvl w:val="0"/>
          <w:numId w:val="3"/>
        </w:numPr>
        <w:spacing w:after="60"/>
      </w:pPr>
      <w:r>
        <w:t xml:space="preserve">An audio output device (speaker/transducer) capable of producing tones in the 200–4,000 Hz range</w:t>
      </w:r>
    </w:p>
    <w:p>
      <w:pPr>
        <w:pStyle w:val="ListParagraph"/>
        <w:numPr>
          <w:ilvl w:val="0"/>
          <w:numId w:val="3"/>
        </w:numPr>
        <w:spacing w:after="60"/>
      </w:pPr>
      <w:r>
        <w:t xml:space="preserve">An audio input device (microphone) with at least 8 kHz sample rate</w:t>
      </w:r>
    </w:p>
    <w:p>
      <w:pPr>
        <w:pStyle w:val="ListParagraph"/>
        <w:numPr>
          <w:ilvl w:val="0"/>
          <w:numId w:val="3"/>
        </w:numPr>
        <w:spacing w:after="60"/>
      </w:pPr>
      <w:r>
        <w:t xml:space="preserve">An FFT implementation capable of real-time analysis at the frame rate (400 Hz default)</w:t>
      </w:r>
    </w:p>
    <w:p>
      <w:pPr>
        <w:pStyle w:val="ListParagraph"/>
        <w:numPr>
          <w:ilvl w:val="0"/>
          <w:numId w:val="3"/>
        </w:numPr>
        <w:spacing w:after="60"/>
      </w:pPr>
      <w:r>
        <w:t xml:space="preserve">A BPSK modulator/demodulator</w:t>
      </w:r>
    </w:p>
    <w:p>
      <w:pPr>
        <w:pStyle w:val="ListParagraph"/>
        <w:numPr>
          <w:ilvl w:val="0"/>
          <w:numId w:val="3"/>
        </w:numPr>
        <w:spacing w:after="60"/>
      </w:pPr>
      <w:r>
        <w:t xml:space="preserve">A rate-1/2 K=7 Viterbi decoder</w:t>
      </w:r>
    </w:p>
    <w:p>
      <w:pPr>
        <w:pStyle w:val="ListParagraph"/>
        <w:numPr>
          <w:ilvl w:val="0"/>
          <w:numId w:val="3"/>
        </w:numPr>
        <w:spacing w:after="60"/>
      </w:pPr>
      <w:r>
        <w:t xml:space="preserve">The Base Codebook (Level 0) hardcoded in memory (256 entries, approximately 2 KB)</w:t>
      </w:r>
    </w:p>
    <w:p>
      <w:pPr>
        <w:pStyle w:val="ListParagraph"/>
        <w:numPr>
          <w:ilvl w:val="0"/>
          <w:numId w:val="3"/>
        </w:numPr>
        <w:spacing w:after="60"/>
      </w:pPr>
      <w:r>
        <w:t xml:space="preserve">A postfix expression parser</w:t>
      </w:r>
    </w:p>
    <w:p>
      <w:pPr>
        <w:pStyle w:val="ListParagraph"/>
        <w:numPr>
          <w:ilvl w:val="0"/>
          <w:numId w:val="3"/>
        </w:numPr>
        <w:spacing w:after="60"/>
      </w:pPr>
      <w:r>
        <w:t xml:space="preserve">CRC-8 computation</w:t>
      </w:r>
    </w:p>
    <w:p>
      <w:pPr>
        <w:spacing w:after="120"/>
      </w:pPr>
      <w:r>
        <w:t xml:space="preserve">This can be implemented on a microcontroller-class device (e.g., ARM Cortex-M4 at 168 MHz with 256 KB RAM).</w:t>
      </w:r>
    </w:p>
    <w:p>
      <w:pPr>
        <w:pStyle w:val="Heading2"/>
      </w:pPr>
      <w:r>
        <w:t xml:space="preserve">11.2 Reference Processing Pipeline</w:t>
      </w:r>
    </w:p>
    <w:p>
      <w:pPr>
        <w:spacing w:after="120"/>
      </w:pPr>
      <w:r>
        <w:t xml:space="preserve">The following pipeline describes the processing stages for a received AILL signal:</w:t>
      </w:r>
    </w:p>
    <w:p>
      <w:pPr>
        <w:pStyle w:val="ListParagraph"/>
        <w:numPr>
          <w:ilvl w:val="0"/>
          <w:numId w:val="6"/>
        </w:numPr>
        <w:spacing w:after="60"/>
      </w:pPr>
      <w:r>
        <w:t xml:space="preserve">Audio capture and analog-to-digital conversion at the negotiated sample rate.</w:t>
      </w:r>
    </w:p>
    <w:p>
      <w:pPr>
        <w:pStyle w:val="ListParagraph"/>
        <w:numPr>
          <w:ilvl w:val="0"/>
          <w:numId w:val="6"/>
        </w:numPr>
        <w:spacing w:after="60"/>
      </w:pPr>
      <w:r>
        <w:t xml:space="preserve">Frame synchronization using the B0 pilot tone and Zadoff-Chu correlation.</w:t>
      </w:r>
    </w:p>
    <w:p>
      <w:pPr>
        <w:pStyle w:val="ListParagraph"/>
        <w:numPr>
          <w:ilvl w:val="0"/>
          <w:numId w:val="6"/>
        </w:numPr>
        <w:spacing w:after="60"/>
      </w:pPr>
      <w:r>
        <w:t xml:space="preserve">FFT-based OFDM demodulation, producing per-sub-carrier complex samples.</w:t>
      </w:r>
    </w:p>
    <w:p>
      <w:pPr>
        <w:pStyle w:val="ListParagraph"/>
        <w:numPr>
          <w:ilvl w:val="0"/>
          <w:numId w:val="6"/>
        </w:numPr>
        <w:spacing w:after="60"/>
      </w:pPr>
      <w:r>
        <w:t xml:space="preserve">Channel estimation and equalization using pilot sub-carriers.</w:t>
      </w:r>
    </w:p>
    <w:p>
      <w:pPr>
        <w:pStyle w:val="ListParagraph"/>
        <w:numPr>
          <w:ilvl w:val="0"/>
          <w:numId w:val="6"/>
        </w:numPr>
        <w:spacing w:after="60"/>
      </w:pPr>
      <w:r>
        <w:t xml:space="preserve">QAM soft demodulation, producing log-likelihood ratios for each bit.</w:t>
      </w:r>
    </w:p>
    <w:p>
      <w:pPr>
        <w:pStyle w:val="ListParagraph"/>
        <w:numPr>
          <w:ilvl w:val="0"/>
          <w:numId w:val="6"/>
        </w:numPr>
        <w:spacing w:after="60"/>
      </w:pPr>
      <w:r>
        <w:t xml:space="preserve">Viterbi decoding (inner convolutional code), producing hard bit decisions.</w:t>
      </w:r>
    </w:p>
    <w:p>
      <w:pPr>
        <w:pStyle w:val="ListParagraph"/>
        <w:numPr>
          <w:ilvl w:val="0"/>
          <w:numId w:val="6"/>
        </w:numPr>
        <w:spacing w:after="60"/>
      </w:pPr>
      <w:r>
        <w:t xml:space="preserve">Reed-Solomon decoding (outer code, if AILL-Standard or above).</w:t>
      </w:r>
    </w:p>
    <w:p>
      <w:pPr>
        <w:pStyle w:val="ListParagraph"/>
        <w:numPr>
          <w:ilvl w:val="0"/>
          <w:numId w:val="6"/>
        </w:numPr>
        <w:spacing w:after="60"/>
      </w:pPr>
      <w:r>
        <w:t xml:space="preserve">CRC-8 verification per epoch.</w:t>
      </w:r>
    </w:p>
    <w:p>
      <w:pPr>
        <w:pStyle w:val="ListParagraph"/>
        <w:numPr>
          <w:ilvl w:val="0"/>
          <w:numId w:val="6"/>
        </w:numPr>
        <w:spacing w:after="60"/>
      </w:pPr>
      <w:r>
        <w:t xml:space="preserve">Session Context Table lookup and decompression.</w:t>
      </w:r>
    </w:p>
    <w:p>
      <w:pPr>
        <w:pStyle w:val="ListParagraph"/>
        <w:numPr>
          <w:ilvl w:val="0"/>
          <w:numId w:val="6"/>
        </w:numPr>
        <w:spacing w:after="60"/>
      </w:pPr>
      <w:r>
        <w:t xml:space="preserve">Postfix expression parsing and type checking.</w:t>
      </w:r>
    </w:p>
    <w:p>
      <w:pPr>
        <w:pStyle w:val="ListParagraph"/>
        <w:numPr>
          <w:ilvl w:val="0"/>
          <w:numId w:val="6"/>
        </w:numPr>
        <w:spacing w:after="60"/>
      </w:pPr>
      <w:r>
        <w:t xml:space="preserve">Delivery to the application layer.</w:t>
      </w:r>
    </w:p>
    <w:p>
      <w:pPr>
        <w:pStyle w:val="Heading2"/>
      </w:pPr>
      <w:r>
        <w:t xml:space="preserve">11.3 Latency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Stage</w:t>
            </w:r>
          </w:p>
        </w:tc>
        <w:tc>
          <w:tcPr>
            <w:tcW w:type="dxa" w:w="2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Target Latency</w:t>
            </w:r>
          </w:p>
        </w:tc>
        <w:tc>
          <w:tcPr>
            <w:tcW w:type="dxa" w:w="41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Notes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Frame capture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2.5 ms</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One frame duration</w:t>
            </w:r>
          </w:p>
        </w:tc>
      </w:tr>
      <w:tr>
        <w:tc>
          <w:tcPr>
            <w:tcW w:type="dxa" w:w="2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FFT + demodulation</w:t>
            </w:r>
          </w:p>
        </w:tc>
        <w:tc>
          <w:tcPr>
            <w:tcW w:type="dxa" w:w="2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0.5 ms</w:t>
            </w:r>
          </w:p>
        </w:tc>
        <w:tc>
          <w:tcPr>
            <w:tcW w:type="dxa" w:w="41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Real-time constraint</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Error correction</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1.0 ms</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Viterbi + RS combined</w:t>
            </w:r>
          </w:p>
        </w:tc>
      </w:tr>
      <w:tr>
        <w:tc>
          <w:tcPr>
            <w:tcW w:type="dxa" w:w="2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Expression parsing</w:t>
            </w:r>
          </w:p>
        </w:tc>
        <w:tc>
          <w:tcPr>
            <w:tcW w:type="dxa" w:w="2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0.2 ms</w:t>
            </w:r>
          </w:p>
        </w:tc>
        <w:tc>
          <w:tcPr>
            <w:tcW w:type="dxa" w:w="41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Postfix is O(n) single pass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Total per frame</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4.2 ms</w:t>
            </w:r>
          </w:p>
        </w:tc>
        <w:tc>
          <w:tcPr>
            <w:tcW w:type="dxa" w:w="4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End-to-end single frame latency</w:t>
            </w:r>
          </w:p>
        </w:tc>
      </w:tr>
      <w:tr>
        <w:tc>
          <w:tcPr>
            <w:tcW w:type="dxa" w:w="2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Handshake (full)</w:t>
            </w:r>
          </w:p>
        </w:tc>
        <w:tc>
          <w:tcPr>
            <w:tcW w:type="dxa" w:w="2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75 ms</w:t>
            </w:r>
          </w:p>
        </w:tc>
        <w:tc>
          <w:tcPr>
            <w:tcW w:type="dxa" w:w="41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30 frames at minimum encoding</w:t>
            </w:r>
          </w:p>
        </w:tc>
      </w:tr>
    </w:tbl>
    <w:p>
      <w:pPr>
        <w:pStyle w:val="Heading2"/>
      </w:pPr>
      <w:r>
        <w:t xml:space="preserve">11.4 Testing and Validation</w:t>
      </w:r>
    </w:p>
    <w:p>
      <w:pPr>
        <w:spacing w:after="120"/>
      </w:pPr>
      <w:r>
        <w:t xml:space="preserve">Conforming implementations MUST pass the AILL Conformance Test Suite, which validates:</w:t>
      </w:r>
    </w:p>
    <w:p>
      <w:pPr>
        <w:pStyle w:val="ListParagraph"/>
        <w:numPr>
          <w:ilvl w:val="0"/>
          <w:numId w:val="3"/>
        </w:numPr>
        <w:spacing w:after="60"/>
      </w:pPr>
      <w:r>
        <w:t xml:space="preserve">Correct HELO/ACK/SYN handshake sequence generation and parsing</w:t>
      </w:r>
    </w:p>
    <w:p>
      <w:pPr>
        <w:pStyle w:val="ListParagraph"/>
        <w:numPr>
          <w:ilvl w:val="0"/>
          <w:numId w:val="3"/>
        </w:numPr>
        <w:spacing w:after="60"/>
      </w:pPr>
      <w:r>
        <w:t xml:space="preserve">All Base Codebook (Level 0) entries are correctly encoded and decoded</w:t>
      </w:r>
    </w:p>
    <w:p>
      <w:pPr>
        <w:pStyle w:val="ListParagraph"/>
        <w:numPr>
          <w:ilvl w:val="0"/>
          <w:numId w:val="3"/>
        </w:numPr>
        <w:spacing w:after="60"/>
      </w:pPr>
      <w:r>
        <w:t xml:space="preserve">Type system validation (all primitive and composite types)</w:t>
      </w:r>
    </w:p>
    <w:p>
      <w:pPr>
        <w:pStyle w:val="ListParagraph"/>
        <w:numPr>
          <w:ilvl w:val="0"/>
          <w:numId w:val="3"/>
        </w:numPr>
        <w:spacing w:after="60"/>
      </w:pPr>
      <w:r>
        <w:t xml:space="preserve">Postfix expression evaluation for a standard set of 200 test expressions</w:t>
      </w:r>
    </w:p>
    <w:p>
      <w:pPr>
        <w:pStyle w:val="ListParagraph"/>
        <w:numPr>
          <w:ilvl w:val="0"/>
          <w:numId w:val="3"/>
        </w:numPr>
        <w:spacing w:after="60"/>
      </w:pPr>
      <w:r>
        <w:t xml:space="preserve">Error correction performance within specified bounds (BER &lt; 10⁻⁶ at 15 dB SNR with rate-1/2 BPSK)</w:t>
      </w:r>
    </w:p>
    <w:p>
      <w:pPr>
        <w:pStyle w:val="ListParagraph"/>
        <w:numPr>
          <w:ilvl w:val="0"/>
          <w:numId w:val="3"/>
        </w:numPr>
        <w:spacing w:after="60"/>
      </w:pPr>
      <w:r>
        <w:t xml:space="preserve">Session Context Table correct LRU behavior</w:t>
      </w:r>
    </w:p>
    <w:p>
      <w:pPr>
        <w:pStyle w:val="ListParagraph"/>
        <w:numPr>
          <w:ilvl w:val="0"/>
          <w:numId w:val="3"/>
        </w:numPr>
        <w:spacing w:after="60"/>
      </w:pPr>
      <w:r>
        <w:t xml:space="preserve">Capability negotiation correctness (min-common-denominator rule)</w:t>
      </w:r>
    </w:p>
    <w:p>
      <w:pPr>
        <w:pStyle w:val="Heading1"/>
      </w:pPr>
      <w:r>
        <w:t xml:space="preserve">12. Future Directions</w:t>
      </w:r>
    </w:p>
    <w:p>
      <w:pPr>
        <w:pStyle w:val="Heading2"/>
      </w:pPr>
      <w:r>
        <w:t xml:space="preserve">12.1 Areas for Future Specification</w:t>
      </w:r>
    </w:p>
    <w:p>
      <w:pPr>
        <w:spacing w:after="120"/>
      </w:pPr>
      <w:r>
        <w:t xml:space="preserve">The following areas are explicitly out of scope for AILL v1.0 but are anticipated for future versions:</w:t>
      </w:r>
    </w:p>
    <w:p>
      <w:pPr>
        <w:pStyle w:val="ListParagraph"/>
        <w:numPr>
          <w:ilvl w:val="0"/>
          <w:numId w:val="3"/>
        </w:numPr>
        <w:spacing w:after="60"/>
      </w:pPr>
      <w:r>
        <w:rPr>
          <w:b/>
          <w:bCs/>
        </w:rPr>
        <w:t xml:space="preserve">Emotional and intentional semantics: </w:t>
      </w:r>
      <w:r>
        <w:t xml:space="preserve">A formal system for expressing agent internal states (urgency, uncertainty distributions, goal structures) beyond the current CONFIDENCE and PRIORITY metadata.</w:t>
      </w:r>
    </w:p>
    <w:p>
      <w:pPr>
        <w:pStyle w:val="ListParagraph"/>
        <w:numPr>
          <w:ilvl w:val="0"/>
          <w:numId w:val="3"/>
        </w:numPr>
        <w:spacing w:after="60"/>
      </w:pPr>
      <w:r>
        <w:rPr>
          <w:b/>
          <w:bCs/>
        </w:rPr>
        <w:t xml:space="preserve">Continuous signal semantics: </w:t>
      </w:r>
      <w:r>
        <w:t xml:space="preserve">Extensions for transmitting continuous signals (audio recordings, sensor waveforms) inline within AILL utterances, rather than encoding them as discrete arrays.</w:t>
      </w:r>
    </w:p>
    <w:p>
      <w:pPr>
        <w:pStyle w:val="ListParagraph"/>
        <w:numPr>
          <w:ilvl w:val="0"/>
          <w:numId w:val="3"/>
        </w:numPr>
        <w:spacing w:after="60"/>
      </w:pPr>
      <w:r>
        <w:rPr>
          <w:b/>
          <w:bCs/>
        </w:rPr>
        <w:t xml:space="preserve">Formal verification: </w:t>
      </w:r>
      <w:r>
        <w:t xml:space="preserve">A proof framework for verifying that a given implementation correctly implements the AILL specification, enabling safety-critical deployments.</w:t>
      </w:r>
    </w:p>
    <w:p>
      <w:pPr>
        <w:pStyle w:val="ListParagraph"/>
        <w:numPr>
          <w:ilvl w:val="0"/>
          <w:numId w:val="3"/>
        </w:numPr>
        <w:spacing w:after="60"/>
      </w:pPr>
      <w:r>
        <w:rPr>
          <w:b/>
          <w:bCs/>
        </w:rPr>
        <w:t xml:space="preserve">Natural language bridging: </w:t>
      </w:r>
      <w:r>
        <w:t xml:space="preserve">A standardized Level 1 codebook for real-time translation between AILL and human natural languages, enabling AI agents to serve as interpreters.</w:t>
      </w:r>
    </w:p>
    <w:p>
      <w:pPr>
        <w:pStyle w:val="ListParagraph"/>
        <w:numPr>
          <w:ilvl w:val="0"/>
          <w:numId w:val="3"/>
        </w:numPr>
        <w:spacing w:after="60"/>
      </w:pPr>
      <w:r>
        <w:rPr>
          <w:b/>
          <w:bCs/>
        </w:rPr>
        <w:t xml:space="preserve">Mesh networking: </w:t>
      </w:r>
      <w:r>
        <w:t xml:space="preserve">Multi-hop acoustic routing where agents relay AILL utterances beyond the range of direct acoustic communication.</w:t>
      </w:r>
    </w:p>
    <w:p>
      <w:pPr>
        <w:pStyle w:val="Heading2"/>
      </w:pPr>
      <w:r>
        <w:t xml:space="preserve">12.2 Versioning and Evolution</w:t>
      </w:r>
    </w:p>
    <w:p>
      <w:pPr>
        <w:spacing w:after="120"/>
      </w:pPr>
      <w:r>
        <w:t xml:space="preserve">The AILL specification follows semantic versioning (Major.Minor.Patch). Minor and patch versions are backward-compatible: an agent implementing v1.1 MUST correctly communicate with a v1.0 agent at the v1.0 feature set. Major version increments may break compatibility and require explicit version negotiation during the handshake.</w:t>
      </w:r>
    </w:p>
    <w:p>
      <w:pPr>
        <w:spacing w:after="120"/>
      </w:pPr>
      <w:r>
        <w:t xml:space="preserve">All extensions to the base codebook, new conformance requirements, and changes to the physical layer parameters go through a public review process before incorporation into the specification.</w:t>
      </w:r>
    </w:p>
    <w:p>
      <w:pPr>
        <w:pStyle w:val="Heading1"/>
      </w:pPr>
      <w:r>
        <w:t xml:space="preserve">Appendix A: Standard Codebook Registry</w:t>
      </w:r>
    </w:p>
    <w:p>
      <w:pPr>
        <w:spacing w:after="120"/>
      </w:pPr>
      <w:r>
        <w:t xml:space="preserve">The following Level 1 codebooks are defined in AILL v1.0. Each is identified by a 6-bit registry ID transmitted during the handshake.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560"/>
        <w:gridCol w:w="2400"/>
      </w:tblGrid>
      <w:tr>
        <w:tc>
          <w:tcPr>
            <w:tcW w:type="dxa" w:w="1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Registry ID</w:t>
            </w:r>
          </w:p>
        </w:tc>
        <w:tc>
          <w:tcPr>
            <w:tcW w:type="dxa" w:w="18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Name</w:t>
            </w:r>
          </w:p>
        </w:tc>
        <w:tc>
          <w:tcPr>
            <w:tcW w:type="dxa" w:w="35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Domain</w:t>
            </w:r>
          </w:p>
        </w:tc>
        <w:tc>
          <w:tcPr>
            <w:tcW w:type="dxa" w:w="2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Entry Count</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0x01</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NAV-1</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Navigation and spatial positioning</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512</w:t>
            </w:r>
          </w:p>
        </w:tc>
      </w:tr>
      <w:tr>
        <w:tc>
          <w:tcPr>
            <w:tcW w:type="dxa" w:w="16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0x02</w:t>
            </w:r>
          </w:p>
        </w:tc>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PERCEPT-1</w:t>
            </w:r>
          </w:p>
        </w:tc>
        <w:tc>
          <w:tcPr>
            <w:tcW w:type="dxa" w:w="3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Visual and sensor perception</w:t>
            </w:r>
          </w:p>
        </w:tc>
        <w:tc>
          <w:tcPr>
            <w:tcW w:type="dxa" w:w="2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1,024</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0x03</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MANIP-1</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Physical manipulation and grasping</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384</w:t>
            </w:r>
          </w:p>
        </w:tc>
      </w:tr>
      <w:tr>
        <w:tc>
          <w:tcPr>
            <w:tcW w:type="dxa" w:w="16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0x04</w:t>
            </w:r>
          </w:p>
        </w:tc>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NLP-1</w:t>
            </w:r>
          </w:p>
        </w:tc>
        <w:tc>
          <w:tcPr>
            <w:tcW w:type="dxa" w:w="3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Natural language concept bridging</w:t>
            </w:r>
          </w:p>
        </w:tc>
        <w:tc>
          <w:tcPr>
            <w:tcW w:type="dxa" w:w="2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2,048</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0x05</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DIAG-1</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Diagnostic and system health reporting</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256</w:t>
            </w:r>
          </w:p>
        </w:tc>
      </w:tr>
      <w:tr>
        <w:tc>
          <w:tcPr>
            <w:tcW w:type="dxa" w:w="16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0x06</w:t>
            </w:r>
          </w:p>
        </w:tc>
        <w:tc>
          <w:tcPr>
            <w:tcW w:type="dxa" w:w="18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PLAN-1</w:t>
            </w:r>
          </w:p>
        </w:tc>
        <w:tc>
          <w:tcPr>
            <w:tcW w:type="dxa" w:w="35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Task planning and goal management</w:t>
            </w:r>
          </w:p>
        </w:tc>
        <w:tc>
          <w:tcPr>
            <w:tcW w:type="dxa" w:w="2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512</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0x07 – 0x3F</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(Reserved)</w:t>
            </w:r>
          </w:p>
        </w:tc>
        <w:tc>
          <w:tcPr>
            <w:tcW w:type="dxa" w:w="3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Future standard codebooks</w:t>
            </w:r>
          </w:p>
        </w:tc>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w:t>
            </w:r>
          </w:p>
        </w:tc>
      </w:tr>
    </w:tbl>
    <w:p>
      <w:pPr>
        <w:spacing w:after="120"/>
      </w:pPr>
    </w:p>
    <w:p>
      <w:pPr>
        <w:pStyle w:val="Heading1"/>
      </w:pPr>
      <w:r>
        <w:t xml:space="preserve">Appendix B: Wire Format Examples</w:t>
      </w:r>
    </w:p>
    <w:p>
      <w:pPr>
        <w:spacing w:after="120"/>
      </w:pPr>
      <w:r>
        <w:t xml:space="preserve">The following examples show complete AILL utterances in their logical (pre-encoding) form.</w:t>
      </w:r>
    </w:p>
    <w:p>
      <w:pPr>
        <w:pStyle w:val="Heading3"/>
      </w:pPr>
      <w:r>
        <w:t xml:space="preserve">Example 1: Simple Status Query</w:t>
      </w:r>
    </w:p>
    <w:p>
      <w:pPr>
        <w:spacing w:after="0" w:before="0"/>
        <w:ind w:left="360"/>
      </w:pPr>
      <w:r>
        <w:rPr>
          <w:rFonts w:ascii="Courier New" w:cs="Courier New" w:eastAsia="Courier New" w:hAnsi="Courier New"/>
          <w:sz w:val="18"/>
          <w:szCs w:val="18"/>
        </w:rPr>
        <w:t xml:space="preserve">START_UTTERANCE</w:t>
      </w:r>
    </w:p>
    <w:p>
      <w:pPr>
        <w:spacing w:after="0" w:before="0"/>
        <w:ind w:left="360"/>
      </w:pPr>
      <w:r>
        <w:rPr>
          <w:rFonts w:ascii="Courier New" w:cs="Courier New" w:eastAsia="Courier New" w:hAnsi="Courier New"/>
          <w:sz w:val="18"/>
          <w:szCs w:val="18"/>
        </w:rPr>
        <w:t xml:space="preserve">  CONFIDENCE(1.0) PRIORITY(3) TIMESTAMP(1740000000000000)</w:t>
      </w:r>
    </w:p>
    <w:p>
      <w:pPr>
        <w:spacing w:after="0" w:before="0"/>
        <w:ind w:left="360"/>
      </w:pPr>
      <w:r>
        <w:rPr>
          <w:rFonts w:ascii="Courier New" w:cs="Courier New" w:eastAsia="Courier New" w:hAnsi="Courier New"/>
          <w:sz w:val="18"/>
          <w:szCs w:val="18"/>
        </w:rPr>
        <w:t xml:space="preserve">  QUERY</w:t>
      </w:r>
    </w:p>
    <w:p>
      <w:pPr>
        <w:spacing w:after="0" w:before="0"/>
        <w:ind w:left="360"/>
      </w:pPr>
      <w:r>
        <w:rPr>
          <w:rFonts w:ascii="Courier New" w:cs="Courier New" w:eastAsia="Courier New" w:hAnsi="Courier New"/>
          <w:sz w:val="18"/>
          <w:szCs w:val="18"/>
        </w:rPr>
        <w:t xml:space="preserve">    FIELD_REF(battery_level)</w:t>
      </w:r>
    </w:p>
    <w:p>
      <w:pPr>
        <w:spacing w:after="0" w:before="0"/>
        <w:ind w:left="360"/>
      </w:pPr>
      <w:r>
        <w:rPr>
          <w:rFonts w:ascii="Courier New" w:cs="Courier New" w:eastAsia="Courier New" w:hAnsi="Courier New"/>
          <w:sz w:val="18"/>
          <w:szCs w:val="18"/>
        </w:rPr>
        <w:t xml:space="preserve">END_UTTERANCE</w:t>
      </w:r>
    </w:p>
    <w:p>
      <w:pPr>
        <w:spacing w:after="0" w:before="0"/>
        <w:ind w:left="360"/>
      </w:pPr>
      <w:r>
        <w:rPr>
          <w:rFonts w:ascii="Courier New" w:cs="Courier New" w:eastAsia="Courier New" w:hAnsi="Courier New"/>
          <w:sz w:val="18"/>
          <w:szCs w:val="18"/>
        </w:rPr>
        <w:t xml:space="preserve"/>
      </w:r>
    </w:p>
    <w:p>
      <w:pPr>
        <w:spacing w:after="0" w:before="0"/>
        <w:ind w:left="360"/>
      </w:pPr>
      <w:r>
        <w:rPr>
          <w:rFonts w:ascii="Courier New" w:cs="Courier New" w:eastAsia="Courier New" w:hAnsi="Courier New"/>
          <w:sz w:val="18"/>
          <w:szCs w:val="18"/>
        </w:rPr>
        <w:t xml:space="preserve">Byte representation (Base Codebook codes):</w:t>
      </w:r>
    </w:p>
    <w:p>
      <w:pPr>
        <w:spacing w:after="0" w:before="0"/>
        <w:ind w:left="360"/>
      </w:pPr>
      <w:r>
        <w:rPr>
          <w:rFonts w:ascii="Courier New" w:cs="Courier New" w:eastAsia="Courier New" w:hAnsi="Courier New"/>
          <w:sz w:val="18"/>
          <w:szCs w:val="18"/>
        </w:rPr>
        <w:t xml:space="preserve">0x00  0x90 3F80  0x93 03  0x95 [8-byte timestamp]</w:t>
      </w:r>
    </w:p>
    <w:p>
      <w:pPr>
        <w:spacing w:after="0" w:before="0"/>
        <w:ind w:left="360"/>
      </w:pPr>
      <w:r>
        <w:rPr>
          <w:rFonts w:ascii="Courier New" w:cs="Courier New" w:eastAsia="Courier New" w:hAnsi="Courier New"/>
          <w:sz w:val="18"/>
          <w:szCs w:val="18"/>
        </w:rPr>
        <w:t xml:space="preserve">0x80  0xF0 [L1 code for battery_level]</w:t>
      </w:r>
    </w:p>
    <w:p>
      <w:pPr>
        <w:spacing w:after="0" w:before="0"/>
        <w:ind w:left="360"/>
      </w:pPr>
      <w:r>
        <w:rPr>
          <w:rFonts w:ascii="Courier New" w:cs="Courier New" w:eastAsia="Courier New" w:hAnsi="Courier New"/>
          <w:sz w:val="18"/>
          <w:szCs w:val="18"/>
        </w:rPr>
        <w:t xml:space="preserve">0x01</w:t>
      </w:r>
    </w:p>
    <w:p>
      <w:pPr>
        <w:spacing w:after="0" w:before="0"/>
        <w:ind w:left="360"/>
      </w:pPr>
      <w:r>
        <w:rPr>
          <w:rFonts w:ascii="Courier New" w:cs="Courier New" w:eastAsia="Courier New" w:hAnsi="Courier New"/>
          <w:sz w:val="18"/>
          <w:szCs w:val="18"/>
        </w:rPr>
        <w:t xml:space="preserve"/>
      </w:r>
    </w:p>
    <w:p>
      <w:pPr>
        <w:spacing w:after="0" w:before="0"/>
        <w:ind w:left="360"/>
      </w:pPr>
      <w:r>
        <w:rPr>
          <w:rFonts w:ascii="Courier New" w:cs="Courier New" w:eastAsia="Courier New" w:hAnsi="Courier New"/>
          <w:sz w:val="18"/>
          <w:szCs w:val="18"/>
        </w:rPr>
        <w:t xml:space="preserve">Total: 16 bytes = 128 bits = 2 symbols at AILL-Core QPSK</w:t>
      </w:r>
    </w:p>
    <w:p>
      <w:pPr>
        <w:spacing w:after="0" w:before="0"/>
        <w:ind w:left="360"/>
      </w:pPr>
      <w:r>
        <w:rPr>
          <w:rFonts w:ascii="Courier New" w:cs="Courier New" w:eastAsia="Courier New" w:hAnsi="Courier New"/>
          <w:sz w:val="18"/>
          <w:szCs w:val="18"/>
        </w:rPr>
        <w:t xml:space="preserve">Transmission time: 5.0 ms (2 frames at 2.5 ms)</w:t>
      </w:r>
    </w:p>
    <w:p>
      <w:pPr>
        <w:spacing w:after="120"/>
      </w:pPr>
    </w:p>
    <w:p>
      <w:pPr>
        <w:pStyle w:val="Heading3"/>
      </w:pPr>
      <w:r>
        <w:t xml:space="preserve">Example 2: Position Report with Confidence</w:t>
      </w:r>
    </w:p>
    <w:p>
      <w:pPr>
        <w:spacing w:after="0" w:before="0"/>
        <w:ind w:left="360"/>
      </w:pPr>
      <w:r>
        <w:rPr>
          <w:rFonts w:ascii="Courier New" w:cs="Courier New" w:eastAsia="Courier New" w:hAnsi="Courier New"/>
          <w:sz w:val="18"/>
          <w:szCs w:val="18"/>
        </w:rPr>
        <w:t xml:space="preserve">START_UTTERANCE</w:t>
      </w:r>
    </w:p>
    <w:p>
      <w:pPr>
        <w:spacing w:after="0" w:before="0"/>
        <w:ind w:left="360"/>
      </w:pPr>
      <w:r>
        <w:rPr>
          <w:rFonts w:ascii="Courier New" w:cs="Courier New" w:eastAsia="Courier New" w:hAnsi="Courier New"/>
          <w:sz w:val="18"/>
          <w:szCs w:val="18"/>
        </w:rPr>
        <w:t xml:space="preserve">  CONFIDENCE(0.87) PRIORITY(5) TIMESTAMP(1740000000000000)</w:t>
      </w:r>
    </w:p>
    <w:p>
      <w:pPr>
        <w:spacing w:after="0" w:before="0"/>
        <w:ind w:left="360"/>
      </w:pPr>
      <w:r>
        <w:rPr>
          <w:rFonts w:ascii="Courier New" w:cs="Courier New" w:eastAsia="Courier New" w:hAnsi="Courier New"/>
          <w:sz w:val="18"/>
          <w:szCs w:val="18"/>
        </w:rPr>
        <w:t xml:space="preserve">  ASSERT</w:t>
      </w:r>
    </w:p>
    <w:p>
      <w:pPr>
        <w:spacing w:after="0" w:before="0"/>
        <w:ind w:left="360"/>
      </w:pPr>
      <w:r>
        <w:rPr>
          <w:rFonts w:ascii="Courier New" w:cs="Courier New" w:eastAsia="Courier New" w:hAnsi="Courier New"/>
          <w:sz w:val="18"/>
          <w:szCs w:val="18"/>
        </w:rPr>
        <w:t xml:space="preserve">    BEGIN_STRUCT</w:t>
      </w:r>
    </w:p>
    <w:p>
      <w:pPr>
        <w:spacing w:after="0" w:before="0"/>
        <w:ind w:left="360"/>
      </w:pPr>
      <w:r>
        <w:rPr>
          <w:rFonts w:ascii="Courier New" w:cs="Courier New" w:eastAsia="Courier New" w:hAnsi="Courier New"/>
          <w:sz w:val="18"/>
          <w:szCs w:val="18"/>
        </w:rPr>
        <w:t xml:space="preserve">      FIELD(position) TYPE_ARRAY TYPE_FLOAT32 3  3.50  7.20  0.00</w:t>
      </w:r>
    </w:p>
    <w:p>
      <w:pPr>
        <w:spacing w:after="0" w:before="0"/>
        <w:ind w:left="360"/>
      </w:pPr>
      <w:r>
        <w:rPr>
          <w:rFonts w:ascii="Courier New" w:cs="Courier New" w:eastAsia="Courier New" w:hAnsi="Courier New"/>
          <w:sz w:val="18"/>
          <w:szCs w:val="18"/>
        </w:rPr>
        <w:t xml:space="preserve">      FIELD(heading)  TYPE_FLOAT32  127.5</w:t>
      </w:r>
    </w:p>
    <w:p>
      <w:pPr>
        <w:spacing w:after="0" w:before="0"/>
        <w:ind w:left="360"/>
      </w:pPr>
      <w:r>
        <w:rPr>
          <w:rFonts w:ascii="Courier New" w:cs="Courier New" w:eastAsia="Courier New" w:hAnsi="Courier New"/>
          <w:sz w:val="18"/>
          <w:szCs w:val="18"/>
        </w:rPr>
        <w:t xml:space="preserve">      FIELD(velocity) TYPE_FLOAT32  1.35</w:t>
      </w:r>
    </w:p>
    <w:p>
      <w:pPr>
        <w:spacing w:after="0" w:before="0"/>
        <w:ind w:left="360"/>
      </w:pPr>
      <w:r>
        <w:rPr>
          <w:rFonts w:ascii="Courier New" w:cs="Courier New" w:eastAsia="Courier New" w:hAnsi="Courier New"/>
          <w:sz w:val="18"/>
          <w:szCs w:val="18"/>
        </w:rPr>
        <w:t xml:space="preserve">    END_STRUCT</w:t>
      </w:r>
    </w:p>
    <w:p>
      <w:pPr>
        <w:spacing w:after="0" w:before="0"/>
        <w:ind w:left="360"/>
      </w:pPr>
      <w:r>
        <w:rPr>
          <w:rFonts w:ascii="Courier New" w:cs="Courier New" w:eastAsia="Courier New" w:hAnsi="Courier New"/>
          <w:sz w:val="18"/>
          <w:szCs w:val="18"/>
        </w:rPr>
        <w:t xml:space="preserve">END_UTTERANCE</w:t>
      </w:r>
    </w:p>
    <w:p>
      <w:pPr>
        <w:spacing w:after="0" w:before="0"/>
        <w:ind w:left="360"/>
      </w:pPr>
      <w:r>
        <w:rPr>
          <w:rFonts w:ascii="Courier New" w:cs="Courier New" w:eastAsia="Courier New" w:hAnsi="Courier New"/>
          <w:sz w:val="18"/>
          <w:szCs w:val="18"/>
        </w:rPr>
        <w:t xml:space="preserve"/>
      </w:r>
    </w:p>
    <w:p>
      <w:pPr>
        <w:spacing w:after="0" w:before="0"/>
        <w:ind w:left="360"/>
      </w:pPr>
      <w:r>
        <w:rPr>
          <w:rFonts w:ascii="Courier New" w:cs="Courier New" w:eastAsia="Courier New" w:hAnsi="Courier New"/>
          <w:sz w:val="18"/>
          <w:szCs w:val="18"/>
        </w:rPr>
        <w:t xml:space="preserve">Total: 42 bytes = 336 bits = 6 symbols at AILL-Core QPSK</w:t>
      </w:r>
    </w:p>
    <w:p>
      <w:pPr>
        <w:spacing w:after="0" w:before="0"/>
        <w:ind w:left="360"/>
      </w:pPr>
      <w:r>
        <w:rPr>
          <w:rFonts w:ascii="Courier New" w:cs="Courier New" w:eastAsia="Courier New" w:hAnsi="Courier New"/>
          <w:sz w:val="18"/>
          <w:szCs w:val="18"/>
        </w:rPr>
        <w:t xml:space="preserve">Transmission time: 15.0 ms (6 frames at 2.5 ms)</w:t>
      </w:r>
    </w:p>
    <w:p>
      <w:pPr>
        <w:spacing w:after="120"/>
      </w:pPr>
    </w:p>
    <w:p>
      <w:pPr>
        <w:pStyle w:val="Heading3"/>
      </w:pPr>
      <w:r>
        <w:t xml:space="preserve">Example 3: Runtime Vocabulary Extension</w:t>
      </w:r>
    </w:p>
    <w:p>
      <w:pPr>
        <w:spacing w:after="0" w:before="0"/>
        <w:ind w:left="360"/>
      </w:pPr>
      <w:r>
        <w:rPr>
          <w:rFonts w:ascii="Courier New" w:cs="Courier New" w:eastAsia="Courier New" w:hAnsi="Courier New"/>
          <w:sz w:val="18"/>
          <w:szCs w:val="18"/>
        </w:rPr>
        <w:t xml:space="preserve">START_UTTERANCE</w:t>
      </w:r>
    </w:p>
    <w:p>
      <w:pPr>
        <w:spacing w:after="0" w:before="0"/>
        <w:ind w:left="360"/>
      </w:pPr>
      <w:r>
        <w:rPr>
          <w:rFonts w:ascii="Courier New" w:cs="Courier New" w:eastAsia="Courier New" w:hAnsi="Courier New"/>
          <w:sz w:val="18"/>
          <w:szCs w:val="18"/>
        </w:rPr>
        <w:t xml:space="preserve">  CONFIDENCE(1.0) PRIORITY(7) TIMESTAMP(...)</w:t>
      </w:r>
    </w:p>
    <w:p>
      <w:pPr>
        <w:spacing w:after="0" w:before="0"/>
        <w:ind w:left="360"/>
      </w:pPr>
      <w:r>
        <w:rPr>
          <w:rFonts w:ascii="Courier New" w:cs="Courier New" w:eastAsia="Courier New" w:hAnsi="Courier New"/>
          <w:sz w:val="18"/>
          <w:szCs w:val="18"/>
        </w:rPr>
        <w:t xml:space="preserve">  EXTENSION 0xF100 PERSIST</w:t>
      </w:r>
    </w:p>
    <w:p>
      <w:pPr>
        <w:spacing w:after="0" w:before="0"/>
        <w:ind w:left="360"/>
      </w:pPr>
      <w:r>
        <w:rPr>
          <w:rFonts w:ascii="Courier New" w:cs="Courier New" w:eastAsia="Courier New" w:hAnsi="Courier New"/>
          <w:sz w:val="18"/>
          <w:szCs w:val="18"/>
        </w:rPr>
        <w:t xml:space="preserve">    LABEL "obstacle_cluster"</w:t>
      </w:r>
    </w:p>
    <w:p>
      <w:pPr>
        <w:spacing w:after="0" w:before="0"/>
        <w:ind w:left="360"/>
      </w:pPr>
      <w:r>
        <w:rPr>
          <w:rFonts w:ascii="Courier New" w:cs="Courier New" w:eastAsia="Courier New" w:hAnsi="Courier New"/>
          <w:sz w:val="18"/>
          <w:szCs w:val="18"/>
        </w:rPr>
        <w:t xml:space="preserve">    TYPE STRUCT {</w:t>
      </w:r>
    </w:p>
    <w:p>
      <w:pPr>
        <w:spacing w:after="0" w:before="0"/>
        <w:ind w:left="360"/>
      </w:pPr>
      <w:r>
        <w:rPr>
          <w:rFonts w:ascii="Courier New" w:cs="Courier New" w:eastAsia="Courier New" w:hAnsi="Courier New"/>
          <w:sz w:val="18"/>
          <w:szCs w:val="18"/>
        </w:rPr>
        <w:t xml:space="preserve">      centroid:  ARRAY&lt;FLOAT32, 3&gt;,</w:t>
      </w:r>
    </w:p>
    <w:p>
      <w:pPr>
        <w:spacing w:after="0" w:before="0"/>
        <w:ind w:left="360"/>
      </w:pPr>
      <w:r>
        <w:rPr>
          <w:rFonts w:ascii="Courier New" w:cs="Courier New" w:eastAsia="Courier New" w:hAnsi="Courier New"/>
          <w:sz w:val="18"/>
          <w:szCs w:val="18"/>
        </w:rPr>
        <w:t xml:space="preserve">      radius:    FLOAT32,</w:t>
      </w:r>
    </w:p>
    <w:p>
      <w:pPr>
        <w:spacing w:after="0" w:before="0"/>
        <w:ind w:left="360"/>
      </w:pPr>
      <w:r>
        <w:rPr>
          <w:rFonts w:ascii="Courier New" w:cs="Courier New" w:eastAsia="Courier New" w:hAnsi="Courier New"/>
          <w:sz w:val="18"/>
          <w:szCs w:val="18"/>
        </w:rPr>
        <w:t xml:space="preserve">      obj_count: INT16,</w:t>
      </w:r>
    </w:p>
    <w:p>
      <w:pPr>
        <w:spacing w:after="0" w:before="0"/>
        <w:ind w:left="360"/>
      </w:pPr>
      <w:r>
        <w:rPr>
          <w:rFonts w:ascii="Courier New" w:cs="Courier New" w:eastAsia="Courier New" w:hAnsi="Courier New"/>
          <w:sz w:val="18"/>
          <w:szCs w:val="18"/>
        </w:rPr>
        <w:t xml:space="preserve">      threat:    FLOAT32  // 0.0–1.0</w:t>
      </w:r>
    </w:p>
    <w:p>
      <w:pPr>
        <w:spacing w:after="0" w:before="0"/>
        <w:ind w:left="360"/>
      </w:pPr>
      <w:r>
        <w:rPr>
          <w:rFonts w:ascii="Courier New" w:cs="Courier New" w:eastAsia="Courier New" w:hAnsi="Courier New"/>
          <w:sz w:val="18"/>
          <w:szCs w:val="18"/>
        </w:rPr>
        <w:t xml:space="preserve">    }</w:t>
      </w:r>
    </w:p>
    <w:p>
      <w:pPr>
        <w:spacing w:after="0" w:before="0"/>
        <w:ind w:left="360"/>
      </w:pPr>
      <w:r>
        <w:rPr>
          <w:rFonts w:ascii="Courier New" w:cs="Courier New" w:eastAsia="Courier New" w:hAnsi="Courier New"/>
          <w:sz w:val="18"/>
          <w:szCs w:val="18"/>
        </w:rPr>
        <w:t xml:space="preserve">END_UTTERANCE</w:t>
      </w:r>
    </w:p>
    <w:p>
      <w:pPr>
        <w:spacing w:after="0" w:before="0"/>
        <w:ind w:left="360"/>
      </w:pPr>
      <w:r>
        <w:rPr>
          <w:rFonts w:ascii="Courier New" w:cs="Courier New" w:eastAsia="Courier New" w:hAnsi="Courier New"/>
          <w:sz w:val="18"/>
          <w:szCs w:val="18"/>
        </w:rPr>
        <w:t xml:space="preserve"/>
      </w:r>
    </w:p>
    <w:p>
      <w:pPr>
        <w:spacing w:after="0" w:before="0"/>
        <w:ind w:left="360"/>
      </w:pPr>
      <w:r>
        <w:rPr>
          <w:rFonts w:ascii="Courier New" w:cs="Courier New" w:eastAsia="Courier New" w:hAnsi="Courier New"/>
          <w:sz w:val="18"/>
          <w:szCs w:val="18"/>
        </w:rPr>
        <w:t xml:space="preserve">// Subsequent usage (after EXT_ACK received):</w:t>
      </w:r>
    </w:p>
    <w:p>
      <w:pPr>
        <w:spacing w:after="0" w:before="0"/>
        <w:ind w:left="360"/>
      </w:pPr>
      <w:r>
        <w:rPr>
          <w:rFonts w:ascii="Courier New" w:cs="Courier New" w:eastAsia="Courier New" w:hAnsi="Courier New"/>
          <w:sz w:val="18"/>
          <w:szCs w:val="18"/>
        </w:rPr>
        <w:t xml:space="preserve">START_UTTERANCE</w:t>
      </w:r>
    </w:p>
    <w:p>
      <w:pPr>
        <w:spacing w:after="0" w:before="0"/>
        <w:ind w:left="360"/>
      </w:pPr>
      <w:r>
        <w:rPr>
          <w:rFonts w:ascii="Courier New" w:cs="Courier New" w:eastAsia="Courier New" w:hAnsi="Courier New"/>
          <w:sz w:val="18"/>
          <w:szCs w:val="18"/>
        </w:rPr>
        <w:t xml:space="preserve">  CONFIDENCE(0.92) PRIORITY(6) TIMESTAMP(...)</w:t>
      </w:r>
    </w:p>
    <w:p>
      <w:pPr>
        <w:spacing w:after="0" w:before="0"/>
        <w:ind w:left="360"/>
      </w:pPr>
      <w:r>
        <w:rPr>
          <w:rFonts w:ascii="Courier New" w:cs="Courier New" w:eastAsia="Courier New" w:hAnsi="Courier New"/>
          <w:sz w:val="18"/>
          <w:szCs w:val="18"/>
        </w:rPr>
        <w:t xml:space="preserve">  ASSERT</w:t>
      </w:r>
    </w:p>
    <w:p>
      <w:pPr>
        <w:spacing w:after="0" w:before="0"/>
        <w:ind w:left="360"/>
      </w:pPr>
      <w:r>
        <w:rPr>
          <w:rFonts w:ascii="Courier New" w:cs="Courier New" w:eastAsia="Courier New" w:hAnsi="Courier New"/>
          <w:sz w:val="18"/>
          <w:szCs w:val="18"/>
        </w:rPr>
        <w:t xml:space="preserve">    ESCAPE_L2 0xF100  // references the newly defined obstacle_cluster</w:t>
      </w:r>
    </w:p>
    <w:p>
      <w:pPr>
        <w:spacing w:after="0" w:before="0"/>
        <w:ind w:left="360"/>
      </w:pPr>
      <w:r>
        <w:rPr>
          <w:rFonts w:ascii="Courier New" w:cs="Courier New" w:eastAsia="Courier New" w:hAnsi="Courier New"/>
          <w:sz w:val="18"/>
          <w:szCs w:val="18"/>
        </w:rPr>
        <w:t xml:space="preserve">      BEGIN_STRUCT</w:t>
      </w:r>
    </w:p>
    <w:p>
      <w:pPr>
        <w:spacing w:after="0" w:before="0"/>
        <w:ind w:left="360"/>
      </w:pPr>
      <w:r>
        <w:rPr>
          <w:rFonts w:ascii="Courier New" w:cs="Courier New" w:eastAsia="Courier New" w:hAnsi="Courier New"/>
          <w:sz w:val="18"/>
          <w:szCs w:val="18"/>
        </w:rPr>
        <w:t xml:space="preserve">        FIELD(centroid)  TYPE_ARRAY TYPE_FLOAT32 3  12.5  -3.8  0.0</w:t>
      </w:r>
    </w:p>
    <w:p>
      <w:pPr>
        <w:spacing w:after="0" w:before="0"/>
        <w:ind w:left="360"/>
      </w:pPr>
      <w:r>
        <w:rPr>
          <w:rFonts w:ascii="Courier New" w:cs="Courier New" w:eastAsia="Courier New" w:hAnsi="Courier New"/>
          <w:sz w:val="18"/>
          <w:szCs w:val="18"/>
        </w:rPr>
        <w:t xml:space="preserve">        FIELD(radius)    TYPE_FLOAT32  2.3</w:t>
      </w:r>
    </w:p>
    <w:p>
      <w:pPr>
        <w:spacing w:after="0" w:before="0"/>
        <w:ind w:left="360"/>
      </w:pPr>
      <w:r>
        <w:rPr>
          <w:rFonts w:ascii="Courier New" w:cs="Courier New" w:eastAsia="Courier New" w:hAnsi="Courier New"/>
          <w:sz w:val="18"/>
          <w:szCs w:val="18"/>
        </w:rPr>
        <w:t xml:space="preserve">        FIELD(obj_count) TYPE_INT16  7</w:t>
      </w:r>
    </w:p>
    <w:p>
      <w:pPr>
        <w:spacing w:after="0" w:before="0"/>
        <w:ind w:left="360"/>
      </w:pPr>
      <w:r>
        <w:rPr>
          <w:rFonts w:ascii="Courier New" w:cs="Courier New" w:eastAsia="Courier New" w:hAnsi="Courier New"/>
          <w:sz w:val="18"/>
          <w:szCs w:val="18"/>
        </w:rPr>
        <w:t xml:space="preserve">        FIELD(threat)    TYPE_FLOAT32  0.75</w:t>
      </w:r>
    </w:p>
    <w:p>
      <w:pPr>
        <w:spacing w:after="0" w:before="0"/>
        <w:ind w:left="360"/>
      </w:pPr>
      <w:r>
        <w:rPr>
          <w:rFonts w:ascii="Courier New" w:cs="Courier New" w:eastAsia="Courier New" w:hAnsi="Courier New"/>
          <w:sz w:val="18"/>
          <w:szCs w:val="18"/>
        </w:rPr>
        <w:t xml:space="preserve">      END_STRUCT</w:t>
      </w:r>
    </w:p>
    <w:p>
      <w:pPr>
        <w:spacing w:after="0" w:before="0"/>
        <w:ind w:left="360"/>
      </w:pPr>
      <w:r>
        <w:rPr>
          <w:rFonts w:ascii="Courier New" w:cs="Courier New" w:eastAsia="Courier New" w:hAnsi="Courier New"/>
          <w:sz w:val="18"/>
          <w:szCs w:val="18"/>
        </w:rPr>
        <w:t xml:space="preserve">END_UTTERANCE</w:t>
      </w:r>
    </w:p>
    <w:p>
      <w:pPr>
        <w:spacing w:after="120"/>
      </w:pPr>
    </w:p>
    <w:p>
      <w:pPr>
        <w:pStyle w:val="Heading1"/>
      </w:pPr>
      <w:r>
        <w:t xml:space="preserve">Appendix C: Acoustic Channel Characterization</w:t>
      </w:r>
    </w:p>
    <w:p>
      <w:pPr>
        <w:spacing w:after="120"/>
      </w:pPr>
      <w:r>
        <w:t xml:space="preserve">Before establishing a session, agents SHOULD characterize the acoustic channel by transmitting a known test signal and measuring the received signal properties. The following measurements inform parameter negotiation: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Measurement</w:t>
            </w:r>
          </w:p>
        </w:tc>
        <w:tc>
          <w:tcPr>
            <w:tcW w:type="dxa" w:w="33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Method</w:t>
            </w:r>
          </w:p>
        </w:tc>
        <w:tc>
          <w:tcPr>
            <w:tcW w:type="dxa" w:w="360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Used For</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Noise floor (dB SPL)</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RMS energy in silence across B1–B3</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Modulation density selection</w:t>
            </w:r>
          </w:p>
        </w:tc>
      </w:tr>
      <w:tr>
        <w:tc>
          <w:tcPr>
            <w:tcW w:type="dxa" w:w="2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Frequency response</w:t>
            </w:r>
          </w:p>
        </w:tc>
        <w:tc>
          <w:tcPr>
            <w:tcW w:type="dxa" w:w="33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Swept sine or chirp response</w:t>
            </w:r>
          </w:p>
        </w:tc>
        <w:tc>
          <w:tcPr>
            <w:tcW w:type="dxa" w:w="36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Band availability (disable attenuated bands)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Reverberation time (RT60)</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Impulse response decay measurement</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Guard interval and cyclic prefix sizing</w:t>
            </w:r>
          </w:p>
        </w:tc>
      </w:tr>
      <w:tr>
        <w:tc>
          <w:tcPr>
            <w:tcW w:type="dxa" w:w="24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Multipath delay spread</w:t>
            </w:r>
          </w:p>
        </w:tc>
        <w:tc>
          <w:tcPr>
            <w:tcW w:type="dxa" w:w="336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Zadoff-Chu cross-correlation</w:t>
            </w:r>
          </w:p>
        </w:tc>
        <w:tc>
          <w:tcPr>
            <w:tcW w:type="dxa" w:w="3600"/>
            <w:tcBorders>
              <w:top w:val="single" w:color="999999" w:sz="1"/>
              <w:left w:val="single" w:color="999999" w:sz="1"/>
              <w:bottom w:val="single" w:color="999999" w:sz="1"/>
              <w:right w:val="single" w:color="999999" w:sz="1"/>
            </w:tcBorders>
            <w:shd w:fill="F0F4F8" w:val="clear"/>
            <w:tcMar>
              <w:top w:type="dxa" w:w="60"/>
              <w:left w:type="dxa" w:w="100"/>
              <w:bottom w:type="dxa" w:w="60"/>
              <w:right w:type="dxa" w:w="100"/>
            </w:tcMar>
          </w:tcPr>
          <w:p>
            <w:pPr>
              <w:spacing w:after="0"/>
            </w:pPr>
            <w:r>
              <w:rPr>
                <w:rFonts w:ascii="Arial" w:cs="Arial" w:eastAsia="Arial" w:hAnsi="Arial"/>
                <w:sz w:val="20"/>
                <w:szCs w:val="20"/>
              </w:rPr>
              <w:t xml:space="preserve">Equalizer tap count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Doppler shift</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Pilot tone frequency offset</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pPr>
            <w:r>
              <w:rPr>
                <w:rFonts w:ascii="Arial" w:cs="Arial" w:eastAsia="Arial" w:hAnsi="Arial"/>
                <w:sz w:val="20"/>
                <w:szCs w:val="20"/>
              </w:rPr>
              <w:t xml:space="preserve">Relative motion compensation</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AILL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B3A5C" w:sz="6" w:space="4"/>
      </w:pBd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98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2026-02-15T21:49:08.634Z</dcterms:created>
  <dcterms:modified xsi:type="dcterms:W3CDTF">2026-02-15T21:49:08.635Z</dcterms:modified>
</cp:coreProperties>
</file>

<file path=docProps/custom.xml><?xml version="1.0" encoding="utf-8"?>
<Properties xmlns="http://schemas.openxmlformats.org/officeDocument/2006/custom-properties" xmlns:vt="http://schemas.openxmlformats.org/officeDocument/2006/docPropsVTypes"/>
</file>