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Bansley, Walter</w:t>
            </w:r>
          </w:p>
        </w:tc>
      </w:tr>
      <w:tr>
        <w:tc>
          <w:tcPr>
            <w:tcW w:type="dxa" w:w="4320"/>
          </w:tcPr>
          <w:p>
            <w:r>
              <w:rPr>
                <w:b/>
              </w:rPr>
              <w:t>Class of:</w:t>
            </w:r>
          </w:p>
        </w:tc>
        <w:tc>
          <w:tcPr>
            <w:tcW w:type="dxa" w:w="4320"/>
          </w:tcPr>
          <w:p>
            <w:r>
              <w:t>2027</w:t>
            </w:r>
          </w:p>
        </w:tc>
      </w:tr>
      <w:tr>
        <w:tc>
          <w:tcPr>
            <w:tcW w:type="dxa" w:w="4320"/>
          </w:tcPr>
          <w:p>
            <w:r>
              <w:rPr>
                <w:b/>
              </w:rPr>
              <w:t>ID:</w:t>
            </w:r>
          </w:p>
        </w:tc>
        <w:tc>
          <w:tcPr>
            <w:tcW w:type="dxa" w:w="4320"/>
          </w:tcPr>
          <w:p>
            <w:r>
              <w:t>20270420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$18,950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