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Dormevil, Quincy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Downey Green Knight Fund</w:t>
            </w:r>
          </w:p>
        </w:tc>
        <w:tc>
          <w:tcPr>
            <w:tcW w:type="dxa" w:w="4320"/>
          </w:tcPr>
          <w:p>
            <w:r>
              <w:t>$5,500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$3,000</w:t>
            </w:r>
          </w:p>
        </w:tc>
      </w:tr>
      <w:tr>
        <w:tc>
          <w:tcPr>
            <w:tcW w:type="dxa" w:w="4320"/>
          </w:tcPr>
          <w:p>
            <w:r>
              <w:rPr>
                <w:b/>
              </w:rPr>
              <w:t>Less Total Financial Aid:</w:t>
            </w:r>
          </w:p>
        </w:tc>
        <w:tc>
          <w:tcPr>
            <w:tcW w:type="dxa" w:w="4320"/>
          </w:tcPr>
          <w:p>
            <w:r>
              <w:t>$12,500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$6,450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