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Fitzpatrick, Carter</w:t>
            </w:r>
          </w:p>
        </w:tc>
      </w:tr>
      <w:tr>
        <w:tc>
          <w:tcPr>
            <w:tcW w:type="dxa" w:w="4320"/>
          </w:tcPr>
          <w:p>
            <w:r>
              <w:rPr>
                <w:b/>
              </w:rPr>
              <w:t>Class of:</w:t>
            </w:r>
          </w:p>
        </w:tc>
        <w:tc>
          <w:tcPr>
            <w:tcW w:type="dxa" w:w="4320"/>
          </w:tcPr>
          <w:p>
            <w:r>
              <w:t>2027</w:t>
            </w:r>
          </w:p>
        </w:tc>
      </w:tr>
      <w:tr>
        <w:tc>
          <w:tcPr>
            <w:tcW w:type="dxa" w:w="4320"/>
          </w:tcPr>
          <w:p>
            <w:r>
              <w:rPr>
                <w:b/>
              </w:rPr>
              <w:t>ID:</w:t>
            </w:r>
          </w:p>
        </w:tc>
        <w:tc>
          <w:tcPr>
            <w:tcW w:type="dxa" w:w="4320"/>
          </w:tcPr>
          <w:p>
            <w:r>
              <w:t>20272900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Award</w:t>
            </w:r>
          </w:p>
        </w:tc>
        <w:tc>
          <w:tcPr>
            <w:tcW w:type="dxa" w:w="4320"/>
          </w:tcPr>
          <w:p>
            <w:r>
              <w:t>$4,500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