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Frigo, Zachary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Harold and Marion Clifford Memorial Fund</w:t>
            </w:r>
          </w:p>
        </w:tc>
        <w:tc>
          <w:tcPr>
            <w:tcW w:type="dxa" w:w="4320"/>
          </w:tcPr>
          <w:p>
            <w:r>
              <w:t>$1,100</w:t>
            </w:r>
          </w:p>
        </w:tc>
      </w:tr>
      <w:tr>
        <w:tc>
          <w:tcPr>
            <w:tcW w:type="dxa" w:w="4320"/>
          </w:tcPr>
          <w:p>
            <w:r>
              <w:rPr>
                <w:b/>
              </w:rPr>
              <w:t>Notre Dame Award</w:t>
            </w:r>
          </w:p>
        </w:tc>
        <w:tc>
          <w:tcPr>
            <w:tcW w:type="dxa" w:w="4320"/>
          </w:tcPr>
          <w:p>
            <w:r>
              <w:t>$400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